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tabs>
          <w:tab w:val="left" w:leader="none" w:pos="-720"/>
        </w:tabs>
        <w:ind w:left="708" w:hanging="708"/>
        <w:jc w:val="center"/>
        <w:rPr>
          <w:rFonts w:ascii="Arial" w:cs="Arial" w:eastAsia="Arial" w:hAnsi="Arial"/>
          <w:b w:val="1"/>
          <w:bCs w:val="1"/>
          <w:sz w:val="36"/>
          <w:szCs w:val="36"/>
        </w:rPr>
      </w:pPr>
      <w:r w:rsidDel="00000000" w:rsidR="00000000" w:rsidRPr="00000000">
        <w:rPr>
          <w:rFonts w:ascii="Arial" w:cs="Arial" w:eastAsia="Arial" w:hAnsi="Arial"/>
          <w:b w:val="1"/>
          <w:bCs w:val="1"/>
          <w:sz w:val="36"/>
          <w:szCs w:val="36"/>
          <w:rtl w:val="0"/>
        </w:rPr>
        <w:t xml:space="preserve">AUTO </w:t>
      </w:r>
      <w:r w:rsidDel="00000000" w:rsidR="00000000" w:rsidRPr="00000000">
        <w:rPr>
          <w:rFonts w:ascii="Arial" w:cs="Arial" w:eastAsia="Arial" w:hAnsi="Arial"/>
          <w:b w:val="1"/>
          <w:bCs w:val="1"/>
          <w:sz w:val="36"/>
          <w:szCs w:val="36"/>
          <w:rtl w:val="0"/>
        </w:rPr>
        <w:t xml:space="preserve">No</w:t>
      </w:r>
      <w:r w:rsidDel="00000000" w:rsidR="00000000" w:rsidRPr="00000000">
        <w:rPr>
          <w:rFonts w:ascii="Arial" w:cs="Arial" w:eastAsia="Arial" w:hAnsi="Arial"/>
          <w:b w:val="1"/>
          <w:bCs w:val="1"/>
          <w:sz w:val="36"/>
          <w:szCs w:val="36"/>
          <w:rtl w:val="0"/>
        </w:rPr>
        <w:t xml:space="preserve">.</w:t>
      </w:r>
    </w:p>
    <w:p w:rsidR="00000000" w:rsidDel="00000000" w:rsidP="00000000" w:rsidRDefault="00000000" w:rsidRPr="00000000" w14:paraId="00000002">
      <w:pPr>
        <w:jc w:val="center"/>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 Por el cual se pronuncia el despacho con respecto a las pruebas dentro de un procedimiento administrativo sancionatorio y se dictan otras disposiciones</w:t>
      </w:r>
    </w:p>
    <w:p w:rsidR="00000000" w:rsidDel="00000000" w:rsidP="00000000" w:rsidRDefault="00000000" w:rsidRPr="00000000" w14:paraId="00000003">
      <w:pPr>
        <w:tabs>
          <w:tab w:val="left" w:leader="none" w:pos="-720"/>
        </w:tabs>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4">
      <w:pPr>
        <w:widowControl w:val="0"/>
        <w:tabs>
          <w:tab w:val="center" w:leader="none" w:pos="4680"/>
        </w:tabs>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EL SECRETARIO GENERAL DE LA CORPORACIÓN AUTÓNOMA REGIONAL PARA LA DEFENSA DE LA MESETA DE BUCARAMANGA</w:t>
      </w:r>
    </w:p>
    <w:p w:rsidR="00000000" w:rsidDel="00000000" w:rsidP="00000000" w:rsidRDefault="00000000" w:rsidRPr="00000000" w14:paraId="00000005">
      <w:pPr>
        <w:widowControl w:val="0"/>
        <w:tabs>
          <w:tab w:val="center" w:leader="none" w:pos="4680"/>
        </w:tabs>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06">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Obrando de conformidad con lo dispuesto en la Ley 1333 de julio 21 de 2009, modificada por la Ley 2387 de 2024 artículo 24, las disposiciones legales contenidas en la Ley 1437 de 2011, Acuerdo de Consejo Directivo No. 1306 del 29 de julio de 2016 emitido por la CDMB y de acuerdo con la designación conferida mediante la resolución CDMB No. 0199 de marzo 16 de 2020 existiendo méritos para continuar con la investigación, se dispone:</w:t>
      </w:r>
    </w:p>
    <w:p w:rsidR="00000000" w:rsidDel="00000000" w:rsidP="00000000" w:rsidRDefault="00000000" w:rsidRPr="00000000" w14:paraId="00000007">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-274668</wp:posOffset>
                </wp:positionH>
                <wp:positionV relativeFrom="paragraph">
                  <wp:posOffset>91758</wp:posOffset>
                </wp:positionV>
                <wp:extent cx="6407874" cy="1259591"/>
                <wp:effectExtent b="0" l="0" r="0" t="0"/>
                <wp:wrapNone/>
                <wp:docPr id="1" name=""/>
                <a:graphic>
                  <a:graphicData uri="http://schemas.microsoft.com/office/word/2010/wordprocessingShape">
                    <wps:wsp>
                      <wps:cNvSpPr/>
                      <wps:cNvPr id="2" name="Shape 2"/>
                      <wps:spPr>
                        <a:xfrm>
                          <a:off x="2146826" y="3154967"/>
                          <a:ext cx="6398349" cy="1250066"/>
                        </a:xfrm>
                        <a:prstGeom prst="rect">
                          <a:avLst/>
                        </a:prstGeom>
                        <a:solidFill>
                          <a:srgbClr val="FFFFFF"/>
                        </a:solidFill>
                        <a:ln cap="flat" cmpd="sng" w="9525">
                          <a:solidFill>
                            <a:srgbClr val="000000"/>
                          </a:solidFill>
                          <a:prstDash val="solid"/>
                          <a:miter lim="800000"/>
                          <a:headEnd len="sm" w="sm" type="none"/>
                          <a:tailEnd len="sm" w="sm" type="none"/>
                        </a:ln>
                      </wps:spPr>
                      <wps:txbx>
                        <w:txbxContent>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1"/>
                                <w:i w:val="0"/>
                                <w:smallCaps w:val="0"/>
                                <w:strike w:val="0"/>
                                <w:color w:val="000000"/>
                                <w:sz w:val="22"/>
                                <w:vertAlign w:val="baseline"/>
                              </w:rPr>
                              <w:t xml:space="preserve">Radicación: </w:t>
                            </w:r>
                            <w:r w:rsidDel="00000000" w:rsidR="00000000" w:rsidRPr="00000000">
                              <w:rPr>
                                <w:rFonts w:ascii="Arial" w:cs="Arial" w:eastAsia="Arial" w:hAnsi="Arial"/>
                                <w:b w:val="0"/>
                                <w:i w:val="0"/>
                                <w:smallCaps w:val="0"/>
                                <w:strike w:val="0"/>
                                <w:color w:val="000000"/>
                                <w:sz w:val="22"/>
                                <w:vertAlign w:val="baseline"/>
                              </w:rPr>
                              <w:t xml:space="preserve">Expediente Sancionatorio SA-0049-2019.</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Presunto Infractor: LUCILA SUÁREZ DE PALMA, </w:t>
                            </w:r>
                            <w:r w:rsidDel="00000000" w:rsidR="00000000" w:rsidRPr="00000000">
                              <w:rPr>
                                <w:rFonts w:ascii="Arial" w:cs="Arial" w:eastAsia="Arial" w:hAnsi="Arial"/>
                                <w:b w:val="0"/>
                                <w:i w:val="0"/>
                                <w:smallCaps w:val="0"/>
                                <w:strike w:val="0"/>
                                <w:color w:val="000000"/>
                                <w:sz w:val="22"/>
                                <w:vertAlign w:val="baseline"/>
                              </w:rPr>
                              <w:t xml:space="preserve">identificada con la cédula de ciudadanía No. 51.602.866, en calidad de presunta responsable.</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Informe Técnico: </w:t>
                            </w:r>
                            <w:r w:rsidDel="00000000" w:rsidR="00000000" w:rsidRPr="00000000">
                              <w:rPr>
                                <w:rFonts w:ascii="Arial" w:cs="Arial" w:eastAsia="Arial" w:hAnsi="Arial"/>
                                <w:b w:val="0"/>
                                <w:i w:val="0"/>
                                <w:smallCaps w:val="0"/>
                                <w:strike w:val="0"/>
                                <w:color w:val="000000"/>
                                <w:sz w:val="22"/>
                                <w:vertAlign w:val="baseline"/>
                              </w:rPr>
                              <w:t xml:space="preserve">Memorando SEYCA-GEA-097-2019 del 06 de agosto del 2019.</w:t>
                            </w:r>
                          </w:p>
                          <w:p w:rsidR="00000000" w:rsidDel="00000000" w:rsidP="00000000" w:rsidRDefault="00000000" w:rsidRPr="00000000">
                            <w:pPr>
                              <w:spacing w:after="0" w:before="0" w:line="240"/>
                              <w:ind w:left="0" w:right="0" w:firstLine="0"/>
                              <w:jc w:val="both"/>
                              <w:textDirection w:val="btLr"/>
                            </w:pPr>
                            <w:r w:rsidDel="00000000" w:rsidR="00000000" w:rsidRPr="00000000">
                              <w:rPr>
                                <w:rFonts w:ascii="Arial" w:cs="Arial" w:eastAsia="Arial" w:hAnsi="Arial"/>
                                <w:b w:val="0"/>
                                <w:i w:val="0"/>
                                <w:smallCaps w:val="0"/>
                                <w:strike w:val="0"/>
                                <w:color w:val="000000"/>
                                <w:sz w:val="22"/>
                                <w:vertAlign w:val="baseline"/>
                              </w:rPr>
                            </w:r>
                            <w:r w:rsidDel="00000000" w:rsidR="00000000" w:rsidRPr="00000000">
                              <w:rPr>
                                <w:rFonts w:ascii="Arial" w:cs="Arial" w:eastAsia="Arial" w:hAnsi="Arial"/>
                                <w:b w:val="1"/>
                                <w:i w:val="0"/>
                                <w:smallCaps w:val="0"/>
                                <w:strike w:val="0"/>
                                <w:color w:val="000000"/>
                                <w:sz w:val="22"/>
                                <w:vertAlign w:val="baseline"/>
                              </w:rPr>
                              <w:t xml:space="preserve">Lugar de la presunta afectación: </w:t>
                            </w:r>
                            <w:r w:rsidDel="00000000" w:rsidR="00000000" w:rsidRPr="00000000">
                              <w:rPr>
                                <w:rFonts w:ascii="Arial" w:cs="Arial" w:eastAsia="Arial" w:hAnsi="Arial"/>
                                <w:b w:val="0"/>
                                <w:i w:val="0"/>
                                <w:smallCaps w:val="0"/>
                                <w:strike w:val="0"/>
                                <w:color w:val="000000"/>
                                <w:sz w:val="22"/>
                                <w:vertAlign w:val="baseline"/>
                              </w:rPr>
                              <w:t xml:space="preserve">Finca Balneario Las Balsas, vereda Las Balsas en el municipio del Playón (Santander), georreferenciado con coordenadas N:7°26´54,11” E: 73°12´36,96” ASNM:390</w:t>
                            </w:r>
                          </w:p>
                        </w:txbxContent>
                      </wps:txbx>
                      <wps:bodyPr anchorCtr="0" anchor="t" bIns="45675" lIns="91425" spcFirstLastPara="1" rIns="91425" wrap="square" tIns="4567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-274668</wp:posOffset>
                </wp:positionH>
                <wp:positionV relativeFrom="paragraph">
                  <wp:posOffset>91758</wp:posOffset>
                </wp:positionV>
                <wp:extent cx="6407874" cy="1259591"/>
                <wp:effectExtent b="0" l="0" r="0" t="0"/>
                <wp:wrapNone/>
                <wp:docPr id="1" name="image1.png"/>
                <a:graphic>
                  <a:graphicData uri="http://schemas.openxmlformats.org/drawingml/2006/picture">
                    <pic:pic>
                      <pic:nvPicPr>
                        <pic:cNvPr id="0" name="image1.png"/>
                        <pic:cNvPicPr preferRelativeResize="0"/>
                      </pic:nvPicPr>
                      <pic:blipFill>
                        <a:blip r:embed="rId7"/>
                        <a:srcRect/>
                        <a:stretch>
                          <a:fillRect/>
                        </a:stretch>
                      </pic:blipFill>
                      <pic:spPr>
                        <a:xfrm>
                          <a:off x="0" y="0"/>
                          <a:ext cx="6407874" cy="1259591"/>
                        </a:xfrm>
                        <a:prstGeom prst="rect"/>
                        <a:ln/>
                      </pic:spPr>
                    </pic:pic>
                  </a:graphicData>
                </a:graphic>
              </wp:anchor>
            </w:drawing>
          </mc:Fallback>
        </mc:AlternateContent>
      </w:r>
    </w:p>
    <w:p w:rsidR="00000000" w:rsidDel="00000000" w:rsidP="00000000" w:rsidRDefault="00000000" w:rsidRPr="00000000" w14:paraId="00000008">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9">
      <w:pPr>
        <w:widowControl w:val="0"/>
        <w:tabs>
          <w:tab w:val="center" w:leader="none" w:pos="4680"/>
        </w:tabs>
        <w:spacing w:line="276" w:lineRule="auto"/>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A">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B">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C">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D">
      <w:pPr>
        <w:widowControl w:val="0"/>
        <w:tabs>
          <w:tab w:val="center" w:leader="none" w:pos="468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0E">
      <w:pPr>
        <w:pStyle w:val="Title"/>
        <w:tabs>
          <w:tab w:val="left" w:leader="none" w:pos="3780"/>
          <w:tab w:val="center" w:leader="none" w:pos="4959"/>
        </w:tabs>
        <w:spacing w:after="0" w:line="276" w:lineRule="auto"/>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pStyle w:val="Title"/>
        <w:tabs>
          <w:tab w:val="left" w:leader="none" w:pos="3780"/>
          <w:tab w:val="center" w:leader="none" w:pos="4959"/>
        </w:tabs>
        <w:spacing w:after="0" w:lineRule="auto"/>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sz w:val="22"/>
          <w:szCs w:val="22"/>
          <w:rtl w:val="0"/>
        </w:rPr>
        <w:t xml:space="preserve">I. ANTECEDENTES</w:t>
      </w:r>
      <w:r w:rsidDel="00000000" w:rsidR="00000000" w:rsidRPr="00000000">
        <w:rPr>
          <w:rtl w:val="0"/>
        </w:rPr>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Que mediante </w:t>
      </w:r>
      <w:r w:rsidDel="00000000" w:rsidR="00000000" w:rsidRPr="00000000">
        <w:rPr>
          <w:rFonts w:ascii="Arial" w:cs="Arial" w:eastAsia="Arial" w:hAnsi="Arial"/>
          <w:b w:val="1"/>
          <w:bCs w:val="1"/>
          <w:sz w:val="22"/>
          <w:szCs w:val="22"/>
          <w:rtl w:val="0"/>
        </w:rPr>
        <w:t xml:space="preserve">Auto No. 349 del seis (06) de agosto de 2019</w:t>
      </w:r>
      <w:r w:rsidDel="00000000" w:rsidR="00000000" w:rsidRPr="00000000">
        <w:rPr>
          <w:rFonts w:ascii="Arial" w:cs="Arial" w:eastAsia="Arial" w:hAnsi="Arial"/>
          <w:sz w:val="22"/>
          <w:szCs w:val="22"/>
          <w:rtl w:val="0"/>
        </w:rPr>
        <w:t xml:space="preserve"> se ordenó la apertura de Investigación Administrativa Sancionatoria en contra de la señora</w:t>
      </w:r>
      <w:r w:rsidDel="00000000" w:rsidR="00000000" w:rsidRPr="00000000">
        <w:rPr>
          <w:rFonts w:ascii="Arial" w:cs="Arial" w:eastAsia="Arial" w:hAnsi="Arial"/>
          <w:b w:val="1"/>
          <w:bCs w:val="1"/>
          <w:color w:val="000000"/>
          <w:sz w:val="22"/>
          <w:szCs w:val="22"/>
          <w:rtl w:val="0"/>
        </w:rPr>
        <w:t xml:space="preserve"> LUCILA SUÁREZ DE PALMA, </w:t>
      </w:r>
      <w:r w:rsidDel="00000000" w:rsidR="00000000" w:rsidRPr="00000000">
        <w:rPr>
          <w:rFonts w:ascii="Arial" w:cs="Arial" w:eastAsia="Arial" w:hAnsi="Arial"/>
          <w:color w:val="000000"/>
          <w:sz w:val="22"/>
          <w:szCs w:val="22"/>
          <w:rtl w:val="0"/>
        </w:rPr>
        <w:t xml:space="preserve">identificada con la cédula de ciudadanía No. 51.602.866, en calidad de presunta responsable, de las actividades de vertimiento de aguas residuales no domésticas (ARnD) en el desarrollo de labores de sacrificio bovino realizadas </w:t>
      </w:r>
      <w:r w:rsidDel="00000000" w:rsidR="00000000" w:rsidRPr="00000000">
        <w:rPr>
          <w:rFonts w:ascii="Arial" w:cs="Arial" w:eastAsia="Arial" w:hAnsi="Arial"/>
          <w:sz w:val="22"/>
          <w:szCs w:val="22"/>
          <w:rtl w:val="0"/>
        </w:rPr>
        <w:t xml:space="preserve">en el predio denominado </w:t>
      </w:r>
      <w:r w:rsidDel="00000000" w:rsidR="00000000" w:rsidRPr="00000000">
        <w:rPr>
          <w:rFonts w:ascii="Arial" w:cs="Arial" w:eastAsia="Arial" w:hAnsi="Arial"/>
          <w:color w:val="000000"/>
          <w:sz w:val="22"/>
          <w:szCs w:val="22"/>
          <w:rtl w:val="0"/>
        </w:rPr>
        <w:t xml:space="preserve">Finca Balneario Las Balsas, vereda Las Balsas en el municipio del Playón (Santander), georreferenciado con coordenadas N:7°26´54,11” E: 73°12´36,96” ASNM:390. Así mismo se impuso medida preventiva de suspensión de actividades.</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contenido del anterior acto administrativo fue notificado personalmente el día 20 de enero de 2020, a l</w:t>
      </w:r>
      <w:r w:rsidDel="00000000" w:rsidR="00000000" w:rsidRPr="00000000">
        <w:rPr>
          <w:rFonts w:ascii="Arial" w:cs="Arial" w:eastAsia="Arial" w:hAnsi="Arial"/>
          <w:sz w:val="22"/>
          <w:szCs w:val="22"/>
          <w:rtl w:val="0"/>
        </w:rPr>
        <w:t xml:space="preserve">a señora</w:t>
      </w:r>
      <w:r w:rsidDel="00000000" w:rsidR="00000000" w:rsidRPr="00000000">
        <w:rPr>
          <w:rFonts w:ascii="Arial" w:cs="Arial" w:eastAsia="Arial" w:hAnsi="Arial"/>
          <w:b w:val="1"/>
          <w:bCs w:val="1"/>
          <w:color w:val="000000"/>
          <w:sz w:val="22"/>
          <w:szCs w:val="22"/>
          <w:rtl w:val="0"/>
        </w:rPr>
        <w:t xml:space="preserve"> LUCILA SUÁREZ DE PALMA, </w:t>
      </w:r>
      <w:r w:rsidDel="00000000" w:rsidR="00000000" w:rsidRPr="00000000">
        <w:rPr>
          <w:rFonts w:ascii="Arial" w:cs="Arial" w:eastAsia="Arial" w:hAnsi="Arial"/>
          <w:color w:val="000000"/>
          <w:sz w:val="22"/>
          <w:szCs w:val="22"/>
          <w:rtl w:val="0"/>
        </w:rPr>
        <w:t xml:space="preserve">identificada con la cédula de ciudadanía No. 51.602.866, en calidad de presunta responsable. (Fl 33).</w:t>
      </w:r>
    </w:p>
    <w:p w:rsidR="00000000" w:rsidDel="00000000" w:rsidP="00000000" w:rsidRDefault="00000000" w:rsidRPr="00000000" w14:paraId="00000015">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6">
      <w:pPr>
        <w:jc w:val="both"/>
        <w:rPr>
          <w:rFonts w:ascii="Arial" w:cs="Arial" w:eastAsia="Arial" w:hAnsi="Arial"/>
          <w:b w:val="1"/>
          <w:bCs w:val="1"/>
          <w:sz w:val="22"/>
          <w:szCs w:val="22"/>
        </w:rPr>
      </w:pPr>
      <w:r w:rsidDel="00000000" w:rsidR="00000000" w:rsidRPr="00000000">
        <w:rPr>
          <w:rFonts w:ascii="Arial" w:cs="Arial" w:eastAsia="Arial" w:hAnsi="Arial"/>
          <w:color w:val="000000"/>
          <w:sz w:val="22"/>
          <w:szCs w:val="22"/>
          <w:rtl w:val="0"/>
        </w:rPr>
        <w:t xml:space="preserve">Posteriormente, esta Autoridad Ambiental mediante el </w:t>
      </w:r>
      <w:r w:rsidDel="00000000" w:rsidR="00000000" w:rsidRPr="00000000">
        <w:rPr>
          <w:rFonts w:ascii="Arial" w:cs="Arial" w:eastAsia="Arial" w:hAnsi="Arial"/>
          <w:b w:val="1"/>
          <w:bCs w:val="1"/>
          <w:color w:val="000000"/>
          <w:sz w:val="22"/>
          <w:szCs w:val="22"/>
          <w:rtl w:val="0"/>
        </w:rPr>
        <w:t xml:space="preserve">Auto No. 782 del 02 de agosto de 2021</w:t>
      </w:r>
      <w:r w:rsidDel="00000000" w:rsidR="00000000" w:rsidRPr="00000000">
        <w:rPr>
          <w:rFonts w:ascii="Arial" w:cs="Arial" w:eastAsia="Arial" w:hAnsi="Arial"/>
          <w:color w:val="000000"/>
          <w:sz w:val="22"/>
          <w:szCs w:val="22"/>
          <w:rtl w:val="0"/>
        </w:rPr>
        <w:t xml:space="preserve">, dispuso levantar la medida preventiva impuesta en el </w:t>
      </w:r>
      <w:r w:rsidDel="00000000" w:rsidR="00000000" w:rsidRPr="00000000">
        <w:rPr>
          <w:rFonts w:ascii="Arial" w:cs="Arial" w:eastAsia="Arial" w:hAnsi="Arial"/>
          <w:b w:val="1"/>
          <w:bCs w:val="1"/>
          <w:sz w:val="22"/>
          <w:szCs w:val="22"/>
          <w:rtl w:val="0"/>
        </w:rPr>
        <w:t xml:space="preserve">Auto No. 349 del seis (06) de agosto de 2019.</w:t>
      </w:r>
    </w:p>
    <w:p w:rsidR="00000000" w:rsidDel="00000000" w:rsidP="00000000" w:rsidRDefault="00000000" w:rsidRPr="00000000" w14:paraId="00000017">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8">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contenido del anterior acto administrativo fue notificado personalmente el día 30 de agosto de 2021 a l</w:t>
      </w:r>
      <w:r w:rsidDel="00000000" w:rsidR="00000000" w:rsidRPr="00000000">
        <w:rPr>
          <w:rFonts w:ascii="Arial" w:cs="Arial" w:eastAsia="Arial" w:hAnsi="Arial"/>
          <w:sz w:val="22"/>
          <w:szCs w:val="22"/>
          <w:rtl w:val="0"/>
        </w:rPr>
        <w:t xml:space="preserve">a señora</w:t>
      </w:r>
      <w:r w:rsidDel="00000000" w:rsidR="00000000" w:rsidRPr="00000000">
        <w:rPr>
          <w:rFonts w:ascii="Arial" w:cs="Arial" w:eastAsia="Arial" w:hAnsi="Arial"/>
          <w:b w:val="1"/>
          <w:bCs w:val="1"/>
          <w:color w:val="000000"/>
          <w:sz w:val="22"/>
          <w:szCs w:val="22"/>
          <w:rtl w:val="0"/>
        </w:rPr>
        <w:t xml:space="preserve"> LUCILA SUÁREZ DE PALMA, </w:t>
      </w:r>
      <w:r w:rsidDel="00000000" w:rsidR="00000000" w:rsidRPr="00000000">
        <w:rPr>
          <w:rFonts w:ascii="Arial" w:cs="Arial" w:eastAsia="Arial" w:hAnsi="Arial"/>
          <w:color w:val="000000"/>
          <w:sz w:val="22"/>
          <w:szCs w:val="22"/>
          <w:rtl w:val="0"/>
        </w:rPr>
        <w:t xml:space="preserve">identificada con la cédula de ciudadanía No. 51.602.866, en calidad de presunta responsable. (Fl 76).</w:t>
      </w:r>
    </w:p>
    <w:p w:rsidR="00000000" w:rsidDel="00000000" w:rsidP="00000000" w:rsidRDefault="00000000" w:rsidRPr="00000000" w14:paraId="00000019">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A">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Finalmente, a través del </w:t>
      </w:r>
      <w:r w:rsidDel="00000000" w:rsidR="00000000" w:rsidRPr="00000000">
        <w:rPr>
          <w:rFonts w:ascii="Arial" w:cs="Arial" w:eastAsia="Arial" w:hAnsi="Arial"/>
          <w:b w:val="1"/>
          <w:bCs w:val="1"/>
          <w:color w:val="000000"/>
          <w:sz w:val="22"/>
          <w:szCs w:val="22"/>
          <w:rtl w:val="0"/>
        </w:rPr>
        <w:t xml:space="preserve">Auto No. 0170 del veinte (20) de marzo de 2026</w:t>
      </w:r>
      <w:r w:rsidDel="00000000" w:rsidR="00000000" w:rsidRPr="00000000">
        <w:rPr>
          <w:rFonts w:ascii="Arial" w:cs="Arial" w:eastAsia="Arial" w:hAnsi="Arial"/>
          <w:color w:val="000000"/>
          <w:sz w:val="22"/>
          <w:szCs w:val="22"/>
          <w:rtl w:val="0"/>
        </w:rPr>
        <w:t xml:space="preserve">, la Corporación Autónoma Regional para la Defensa de la Meseta de Bucaramanga, formuló cargos a la señora </w:t>
      </w:r>
      <w:r w:rsidDel="00000000" w:rsidR="00000000" w:rsidRPr="00000000">
        <w:rPr>
          <w:rFonts w:ascii="Arial" w:cs="Arial" w:eastAsia="Arial" w:hAnsi="Arial"/>
          <w:b w:val="1"/>
          <w:bCs w:val="1"/>
          <w:color w:val="000000"/>
          <w:sz w:val="22"/>
          <w:szCs w:val="22"/>
          <w:rtl w:val="0"/>
        </w:rPr>
        <w:t xml:space="preserve">LUCILA SUÁREZ DE PALMA, </w:t>
      </w:r>
      <w:r w:rsidDel="00000000" w:rsidR="00000000" w:rsidRPr="00000000">
        <w:rPr>
          <w:rFonts w:ascii="Arial" w:cs="Arial" w:eastAsia="Arial" w:hAnsi="Arial"/>
          <w:color w:val="000000"/>
          <w:sz w:val="22"/>
          <w:szCs w:val="22"/>
          <w:rtl w:val="0"/>
        </w:rPr>
        <w:t xml:space="preserve">identificada con la cédula de ciudadanía No. 51.602.866, así:</w:t>
      </w:r>
    </w:p>
    <w:p w:rsidR="00000000" w:rsidDel="00000000" w:rsidP="00000000" w:rsidRDefault="00000000" w:rsidRPr="00000000" w14:paraId="0000001B">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 ARTÍCULO PRIMERO: FORMULAR CARGOS en contra de la señora LUCILA SUÁREZ DE PALMA, identificada con la cédula de ciudadanía No. 51.602.866, en calidad de presunta responsable de contravenir la normatividad ambiental así: </w:t>
      </w:r>
      <w:r w:rsidDel="00000000" w:rsidR="00000000" w:rsidRPr="00000000">
        <w:rPr>
          <w:rtl w:val="0"/>
        </w:rPr>
      </w:r>
    </w:p>
    <w:p w:rsidR="00000000" w:rsidDel="00000000" w:rsidP="00000000" w:rsidRDefault="00000000" w:rsidRPr="00000000" w14:paraId="0000001D">
      <w:pPr>
        <w:rPr>
          <w:i w:val="1"/>
          <w:iCs w:val="1"/>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08" w:right="0" w:firstLine="12.000000000000028"/>
        <w:jc w:val="both"/>
        <w:rPr>
          <w:rFonts w:ascii="Times New Roman" w:cs="Times New Roman" w:eastAsia="Times New Roman" w:hAnsi="Times New Roman"/>
          <w:b w:val="0"/>
          <w:bCs w:val="0"/>
          <w:i w:val="1"/>
          <w:iCs w:val="1"/>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CARGO ÚNICO: Infringir presuntamente la normatividad dispuesta en los artículos 179 y 180 del Decreto 2811 de 1974, artículos 2.2.1.1.18.6,  2.2.3.3.4.3, </w:t>
      </w:r>
      <w:r w:rsidDel="00000000" w:rsidR="00000000" w:rsidRPr="00000000">
        <w:rPr>
          <w:rFonts w:ascii="Arial" w:cs="Arial" w:eastAsia="Arial" w:hAnsi="Arial"/>
          <w:b w:val="0"/>
          <w:bCs w:val="0"/>
          <w:i w:val="1"/>
          <w:iCs w:val="1"/>
          <w:smallCaps w:val="0"/>
          <w:strike w:val="0"/>
          <w:color w:val="333333"/>
          <w:sz w:val="22"/>
          <w:szCs w:val="22"/>
          <w:u w:val="none"/>
          <w:shd w:fill="auto" w:val="clear"/>
          <w:vertAlign w:val="baseline"/>
          <w:rtl w:val="0"/>
        </w:rPr>
        <w:t xml:space="preserve">Artículo 2.2.3.3.4.9, </w:t>
      </w:r>
      <w:r w:rsidDel="00000000" w:rsidR="00000000" w:rsidRPr="00000000">
        <w:rPr>
          <w:rFonts w:ascii="Arial" w:cs="Arial" w:eastAsia="Arial" w:hAnsi="Arial"/>
          <w:b w:val="0"/>
          <w:bCs w:val="0"/>
          <w:i w:val="1"/>
          <w:iCs w:val="1"/>
          <w:smallCaps w:val="0"/>
          <w:strike w:val="0"/>
          <w:color w:val="000000"/>
          <w:sz w:val="22"/>
          <w:szCs w:val="22"/>
          <w:u w:val="none"/>
          <w:shd w:fill="auto" w:val="clear"/>
          <w:vertAlign w:val="baseline"/>
          <w:rtl w:val="0"/>
        </w:rPr>
        <w:t xml:space="preserve">2.2.3.3.5.1., del Decreto 1076 de 2015 modificado parcialmente por el Decreto 050 de 2018, por la afectación al recurso del suelo en calidad de presunta responsable, de las actividades de vertimiento de aguas residuales no domésticas (ARnD), como consecuencia de las actividades de sacrificio bovino realizadas en el predio denominado Finca Balneario Las Balsas, vereda Las Balsas en el municipio del Playón (Santander), georreferenciado con coordenadas N:7°26´54,11” E: 73°12´36,96” ASNM:390, sin contar con los respectivos permisos ambientales expedidos por la Corporación Autónoma Regional para la Defensa de la Meseta de Bucaramanga – CDMB. (…)”</w:t>
      </w: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contenido del del </w:t>
      </w:r>
      <w:r w:rsidDel="00000000" w:rsidR="00000000" w:rsidRPr="00000000">
        <w:rPr>
          <w:rFonts w:ascii="Arial" w:cs="Arial" w:eastAsia="Arial" w:hAnsi="Arial"/>
          <w:b w:val="1"/>
          <w:bCs w:val="1"/>
          <w:color w:val="000000"/>
          <w:sz w:val="22"/>
          <w:szCs w:val="22"/>
          <w:rtl w:val="0"/>
        </w:rPr>
        <w:t xml:space="preserve">Auto No. 0170 del veinte (20) de marzo de 2026</w:t>
      </w:r>
      <w:r w:rsidDel="00000000" w:rsidR="00000000" w:rsidRPr="00000000">
        <w:rPr>
          <w:rFonts w:ascii="Arial" w:cs="Arial" w:eastAsia="Arial" w:hAnsi="Arial"/>
          <w:color w:val="000000"/>
          <w:sz w:val="22"/>
          <w:szCs w:val="22"/>
          <w:rtl w:val="0"/>
        </w:rPr>
        <w:t xml:space="preserve">, fue notificado electrónicamente el día 08 de abril de 2026 a l</w:t>
      </w:r>
      <w:r w:rsidDel="00000000" w:rsidR="00000000" w:rsidRPr="00000000">
        <w:rPr>
          <w:rFonts w:ascii="Arial" w:cs="Arial" w:eastAsia="Arial" w:hAnsi="Arial"/>
          <w:sz w:val="22"/>
          <w:szCs w:val="22"/>
          <w:rtl w:val="0"/>
        </w:rPr>
        <w:t xml:space="preserve">a señora</w:t>
      </w:r>
      <w:r w:rsidDel="00000000" w:rsidR="00000000" w:rsidRPr="00000000">
        <w:rPr>
          <w:rFonts w:ascii="Arial" w:cs="Arial" w:eastAsia="Arial" w:hAnsi="Arial"/>
          <w:b w:val="1"/>
          <w:bCs w:val="1"/>
          <w:color w:val="000000"/>
          <w:sz w:val="22"/>
          <w:szCs w:val="22"/>
          <w:rtl w:val="0"/>
        </w:rPr>
        <w:t xml:space="preserve"> LUCILA SUÁREZ DE PALMA, </w:t>
      </w:r>
      <w:r w:rsidDel="00000000" w:rsidR="00000000" w:rsidRPr="00000000">
        <w:rPr>
          <w:rFonts w:ascii="Arial" w:cs="Arial" w:eastAsia="Arial" w:hAnsi="Arial"/>
          <w:color w:val="000000"/>
          <w:sz w:val="22"/>
          <w:szCs w:val="22"/>
          <w:rtl w:val="0"/>
        </w:rPr>
        <w:t xml:space="preserve">identificada con la cédula de ciudadanía No. 51.602.866, en calidad de presunta responsable. (Fl 95).</w:t>
      </w:r>
    </w:p>
    <w:p w:rsidR="00000000" w:rsidDel="00000000" w:rsidP="00000000" w:rsidRDefault="00000000" w:rsidRPr="00000000" w14:paraId="00000021">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en cumplimiento del debido proceso, su postulado del derecho a la defensa y contradicción y de conformidad con el artículo 25 de la Ley 1333 de 2009, se otorgó un término de diez (10) días hábiles, para presentar descargos, solicitar pruebas, desvirtuar las existentes. En este caso se evidencia que, el día 22 de abril de 2026, la parte investigada esto es, l</w:t>
      </w:r>
      <w:r w:rsidDel="00000000" w:rsidR="00000000" w:rsidRPr="00000000">
        <w:rPr>
          <w:rFonts w:ascii="Arial" w:cs="Arial" w:eastAsia="Arial" w:hAnsi="Arial"/>
          <w:sz w:val="22"/>
          <w:szCs w:val="22"/>
          <w:rtl w:val="0"/>
        </w:rPr>
        <w:t xml:space="preserve">a señora</w:t>
      </w:r>
      <w:r w:rsidDel="00000000" w:rsidR="00000000" w:rsidRPr="00000000">
        <w:rPr>
          <w:rFonts w:ascii="Arial" w:cs="Arial" w:eastAsia="Arial" w:hAnsi="Arial"/>
          <w:b w:val="1"/>
          <w:bCs w:val="1"/>
          <w:color w:val="000000"/>
          <w:sz w:val="22"/>
          <w:szCs w:val="22"/>
          <w:rtl w:val="0"/>
        </w:rPr>
        <w:t xml:space="preserve"> LUCILA SUÁREZ DE PALMA, </w:t>
      </w:r>
      <w:r w:rsidDel="00000000" w:rsidR="00000000" w:rsidRPr="00000000">
        <w:rPr>
          <w:rFonts w:ascii="Arial" w:cs="Arial" w:eastAsia="Arial" w:hAnsi="Arial"/>
          <w:color w:val="000000"/>
          <w:sz w:val="22"/>
          <w:szCs w:val="22"/>
          <w:rtl w:val="0"/>
        </w:rPr>
        <w:t xml:space="preserve">por medio del correo electrónico institucional, hizo uso de su derecho a presentar descargos, frente a los cargos formulados mediante </w:t>
      </w:r>
      <w:r w:rsidDel="00000000" w:rsidR="00000000" w:rsidRPr="00000000">
        <w:rPr>
          <w:rFonts w:ascii="Arial" w:cs="Arial" w:eastAsia="Arial" w:hAnsi="Arial"/>
          <w:b w:val="1"/>
          <w:bCs w:val="1"/>
          <w:color w:val="000000"/>
          <w:sz w:val="22"/>
          <w:szCs w:val="22"/>
          <w:rtl w:val="0"/>
        </w:rPr>
        <w:t xml:space="preserve">Auto No. 0170 del veinte (20) de marzo de 2026</w:t>
      </w:r>
      <w:r w:rsidDel="00000000" w:rsidR="00000000" w:rsidRPr="00000000">
        <w:rPr>
          <w:rFonts w:ascii="Arial" w:cs="Arial" w:eastAsia="Arial" w:hAnsi="Arial"/>
          <w:color w:val="000000"/>
          <w:sz w:val="22"/>
          <w:szCs w:val="22"/>
          <w:rtl w:val="0"/>
        </w:rPr>
        <w:t xml:space="preserve">.</w:t>
      </w:r>
    </w:p>
    <w:p w:rsidR="00000000" w:rsidDel="00000000" w:rsidP="00000000" w:rsidRDefault="00000000" w:rsidRPr="00000000" w14:paraId="0000002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4">
      <w:pPr>
        <w:pStyle w:val="Title"/>
        <w:ind w:left="360" w:firstLine="0"/>
        <w:jc w:val="center"/>
        <w:rPr>
          <w:rFonts w:ascii="Arial" w:cs="Arial" w:eastAsia="Arial" w:hAnsi="Arial"/>
          <w:b w:val="1"/>
          <w:bCs w:val="1"/>
          <w:i w:val="1"/>
          <w:iCs w:val="1"/>
          <w:sz w:val="22"/>
          <w:szCs w:val="22"/>
        </w:rPr>
      </w:pPr>
      <w:r w:rsidDel="00000000" w:rsidR="00000000" w:rsidRPr="00000000">
        <w:rPr>
          <w:rFonts w:ascii="Arial" w:cs="Arial" w:eastAsia="Arial" w:hAnsi="Arial"/>
          <w:b w:val="1"/>
          <w:bCs w:val="1"/>
          <w:sz w:val="22"/>
          <w:szCs w:val="22"/>
          <w:rtl w:val="0"/>
        </w:rPr>
        <w:t xml:space="preserve">II. FUNDAMENTOS LEGALES</w:t>
      </w: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26">
      <w:pPr>
        <w:numPr>
          <w:ilvl w:val="0"/>
          <w:numId w:val="3"/>
        </w:numPr>
        <w:pBdr>
          <w:top w:space="0" w:sz="0" w:val="nil"/>
          <w:left w:space="0" w:sz="0" w:val="nil"/>
          <w:bottom w:space="0" w:sz="0" w:val="nil"/>
          <w:right w:space="0" w:sz="0" w:val="nil"/>
          <w:between w:space="0" w:sz="0" w:val="nil"/>
        </w:pBdr>
        <w:ind w:left="720" w:hanging="360"/>
        <w:rPr>
          <w:rFonts w:ascii="Arial" w:cs="Arial" w:eastAsia="Arial" w:hAnsi="Arial"/>
          <w:b w:val="1"/>
          <w:bCs w:val="1"/>
          <w:color w:val="000000"/>
          <w:sz w:val="22"/>
          <w:szCs w:val="22"/>
        </w:rPr>
      </w:pPr>
      <w:bookmarkStart w:colFirst="0" w:colLast="0" w:name="_heading=h.pcg09mnrh01l" w:id="0"/>
      <w:bookmarkEnd w:id="0"/>
      <w:r w:rsidDel="00000000" w:rsidR="00000000" w:rsidRPr="00000000">
        <w:rPr>
          <w:rFonts w:ascii="Arial" w:cs="Arial" w:eastAsia="Arial" w:hAnsi="Arial"/>
          <w:b w:val="1"/>
          <w:bCs w:val="1"/>
          <w:color w:val="000000"/>
          <w:sz w:val="22"/>
          <w:szCs w:val="22"/>
          <w:rtl w:val="0"/>
        </w:rPr>
        <w:t xml:space="preserve">COMPETENCIA. </w:t>
      </w:r>
    </w:p>
    <w:p w:rsidR="00000000" w:rsidDel="00000000" w:rsidP="00000000" w:rsidRDefault="00000000" w:rsidRPr="00000000" w14:paraId="0000002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8">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w:t>
      </w:r>
      <w:r w:rsidDel="00000000" w:rsidR="00000000" w:rsidRPr="00000000">
        <w:rPr>
          <w:rFonts w:ascii="Arial" w:cs="Arial" w:eastAsia="Arial" w:hAnsi="Arial"/>
          <w:b w:val="1"/>
          <w:bCs w:val="1"/>
          <w:sz w:val="22"/>
          <w:szCs w:val="22"/>
          <w:rtl w:val="0"/>
        </w:rPr>
        <w:t xml:space="preserve">CORPORACIÓN AUTÓNOMA REGIONAL  PARA LA DEFENSA DE LA MESETA DE BUCARAMANGA-CDMB</w:t>
      </w:r>
      <w:r w:rsidDel="00000000" w:rsidR="00000000" w:rsidRPr="00000000">
        <w:rPr>
          <w:rFonts w:ascii="Arial" w:cs="Arial" w:eastAsia="Arial" w:hAnsi="Arial"/>
          <w:sz w:val="22"/>
          <w:szCs w:val="22"/>
          <w:rtl w:val="0"/>
        </w:rPr>
        <w:t xml:space="preserve">, es un ente corporativo de Carácter Público de Orden Nacional, descentralizado creado por la Ley 99 de 1993, está dotado de autonomía administrativa y financiera, patrimonio propio y personería jurídica, encargada por la Ley de administrar, dentro del área de su jurisdicción, </w:t>
      </w:r>
      <w:r w:rsidDel="00000000" w:rsidR="00000000" w:rsidRPr="00000000">
        <w:rPr>
          <w:rFonts w:ascii="Arial" w:cs="Arial" w:eastAsia="Arial" w:hAnsi="Arial"/>
          <w:b w:val="1"/>
          <w:bCs w:val="1"/>
          <w:sz w:val="22"/>
          <w:szCs w:val="22"/>
          <w:rtl w:val="0"/>
        </w:rPr>
        <w:t xml:space="preserve">EL MEDIO AMBIENTE Y LOS RECURSOS NATURALES RENOVABLES</w:t>
      </w:r>
      <w:r w:rsidDel="00000000" w:rsidR="00000000" w:rsidRPr="00000000">
        <w:rPr>
          <w:rFonts w:ascii="Arial" w:cs="Arial" w:eastAsia="Arial" w:hAnsi="Arial"/>
          <w:sz w:val="22"/>
          <w:szCs w:val="22"/>
          <w:rtl w:val="0"/>
        </w:rPr>
        <w:t xml:space="preserve">, propendiendo por su desarrollo sostenible  y la protección de los mismos, así como por dar cumplida y oportuna aplicación a la normatividad vigente.</w:t>
      </w:r>
    </w:p>
    <w:p w:rsidR="00000000" w:rsidDel="00000000" w:rsidP="00000000" w:rsidRDefault="00000000" w:rsidRPr="00000000" w14:paraId="0000002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el artículo 8 de la Constitución Política establece que “</w:t>
      </w:r>
      <w:r w:rsidDel="00000000" w:rsidR="00000000" w:rsidRPr="00000000">
        <w:rPr>
          <w:rFonts w:ascii="Arial" w:cs="Arial" w:eastAsia="Arial" w:hAnsi="Arial"/>
          <w:i w:val="1"/>
          <w:iCs w:val="1"/>
          <w:sz w:val="22"/>
          <w:szCs w:val="22"/>
          <w:rtl w:val="0"/>
        </w:rPr>
        <w:t xml:space="preserve">Es obligación del Estado y de las personas proteger las riquezas culturales y naturales de la nación</w:t>
      </w:r>
      <w:r w:rsidDel="00000000" w:rsidR="00000000" w:rsidRPr="00000000">
        <w:rPr>
          <w:rFonts w:ascii="Arial" w:cs="Arial" w:eastAsia="Arial" w:hAnsi="Arial"/>
          <w:sz w:val="22"/>
          <w:szCs w:val="22"/>
          <w:rtl w:val="0"/>
        </w:rPr>
        <w:t xml:space="preserve">".</w:t>
      </w:r>
    </w:p>
    <w:p w:rsidR="00000000" w:rsidDel="00000000" w:rsidP="00000000" w:rsidRDefault="00000000" w:rsidRPr="00000000" w14:paraId="0000002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C">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medio ambiente es un Derecho colectivo que debe ser protegido por el Estado, estableciendo todos los mecanismos necesarios para su protección.</w:t>
      </w:r>
    </w:p>
    <w:p w:rsidR="00000000" w:rsidDel="00000000" w:rsidP="00000000" w:rsidRDefault="00000000" w:rsidRPr="00000000" w14:paraId="0000002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2E">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2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0">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planificación se realiza mediante una serie de mecanismos que permitan analizar, evaluar y prever unas circunstancias que faciliten la toma de decisiones, con el fin de alcanzar un objetivo propuesto, en este caso, el Desarrollo Sostenible.</w:t>
      </w:r>
    </w:p>
    <w:p w:rsidR="00000000" w:rsidDel="00000000" w:rsidP="00000000" w:rsidRDefault="00000000" w:rsidRPr="00000000" w14:paraId="0000003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2">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La protección al medio ambiente corresponde a uno de los más importantes cometidos estatales, es deber del Estado garantizar a las generaciones futuras la conservación del ambiente y la preservación de los recursos naturales. De ahí el objeto para crear el Ministerio de Ambiente y Vivienda Territorial (Hoy Ministerio de Ambiente y Desarrollo Sostenible) como organismo rector de la gestión ambiental y de los recursos naturales, al que corresponde impulsar una relación de respeto entre el hombre y la naturaleza y definir la política ambiental de protección, conservación y preservación.</w:t>
      </w:r>
    </w:p>
    <w:p w:rsidR="00000000" w:rsidDel="00000000" w:rsidP="00000000" w:rsidRDefault="00000000" w:rsidRPr="00000000" w14:paraId="0000003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34">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artículo 31 Numeral 2 de la Ley 99 de 1993, le señaló a las Corporaciones Autónomas Regionales, la función de ejercer como máxima autoridad ambiental en el área de su jurisdicción de acuerdo a las normas de carácter superior y conforme a los criterios y directrices trazadas por el Ministerio del Medio Ambiente. </w:t>
      </w:r>
    </w:p>
    <w:p w:rsidR="00000000" w:rsidDel="00000000" w:rsidP="00000000" w:rsidRDefault="00000000" w:rsidRPr="00000000" w14:paraId="00000035">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color w:val="000000"/>
          <w:sz w:val="22"/>
          <w:szCs w:val="22"/>
          <w:rtl w:val="0"/>
        </w:rPr>
        <w:t xml:space="preserve">El artículo 79 de la misma Carta consagra: “</w:t>
      </w:r>
      <w:r w:rsidDel="00000000" w:rsidR="00000000" w:rsidRPr="00000000">
        <w:rPr>
          <w:rFonts w:ascii="Arial" w:cs="Arial" w:eastAsia="Arial" w:hAnsi="Arial"/>
          <w:i w:val="1"/>
          <w:iCs w:val="1"/>
          <w:color w:val="000000"/>
          <w:sz w:val="22"/>
          <w:szCs w:val="22"/>
          <w:rtl w:val="0"/>
        </w:rPr>
        <w:t xml:space="preserve">Todas las personas tienen derecho a gozar de un ambiente sano. La Ley garantizará la participación de la comunidad en las decisiones que puedan afectarlo. </w:t>
      </w:r>
    </w:p>
    <w:p w:rsidR="00000000" w:rsidDel="00000000" w:rsidP="00000000" w:rsidRDefault="00000000" w:rsidRPr="00000000" w14:paraId="00000037">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Es deber del Estado proteger la diversidad e integridad del ambiente, conservar las áreas de especial importancia ecológica y fomentar la educación para el logro de estos fines.”.</w:t>
      </w:r>
    </w:p>
    <w:p w:rsidR="00000000" w:rsidDel="00000000" w:rsidP="00000000" w:rsidRDefault="00000000" w:rsidRPr="00000000" w14:paraId="00000039">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3A">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 Artículo 80º de la Constitución Política, establece que: “</w:t>
      </w:r>
      <w:r w:rsidDel="00000000" w:rsidR="00000000" w:rsidRPr="00000000">
        <w:rPr>
          <w:rFonts w:ascii="Arial" w:cs="Arial" w:eastAsia="Arial" w:hAnsi="Arial"/>
          <w:i w:val="1"/>
          <w:iCs w:val="1"/>
          <w:color w:val="000000"/>
          <w:sz w:val="22"/>
          <w:szCs w:val="22"/>
          <w:rtl w:val="0"/>
        </w:rPr>
        <w:t xml:space="preserve">El Estado planificará el manejo y aprovechamiento de los recursos naturales para garantizar su desarrollo sostenible, su conservación o sustitución. Además, deberá prevenir y controlar los factores de deterioro ambiental, imponer las sanciones legales y exigir la reparación de los daños causados”.</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3B">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tl w:val="0"/>
        </w:rPr>
      </w:r>
    </w:p>
    <w:p w:rsidR="00000000" w:rsidDel="00000000" w:rsidP="00000000" w:rsidRDefault="00000000" w:rsidRPr="00000000" w14:paraId="0000003C">
      <w:pPr>
        <w:jc w:val="both"/>
        <w:rPr>
          <w:rFonts w:ascii="Arial" w:cs="Arial" w:eastAsia="Arial" w:hAnsi="Arial"/>
          <w:i w:val="1"/>
          <w:iCs w:val="1"/>
          <w:sz w:val="22"/>
          <w:szCs w:val="22"/>
        </w:rPr>
      </w:pPr>
      <w:r w:rsidDel="00000000" w:rsidR="00000000" w:rsidRPr="00000000">
        <w:rPr>
          <w:rFonts w:ascii="Arial" w:cs="Arial" w:eastAsia="Arial" w:hAnsi="Arial"/>
          <w:sz w:val="22"/>
          <w:szCs w:val="22"/>
          <w:rtl w:val="0"/>
        </w:rPr>
        <w:t xml:space="preserve">De acuerdo con el marco normativo de la Ley 1333 de 2009 el Estado es titular de la potestad sancionatoria en materia ambiental y la ejerce sin perjuicio de las competencias legales de otras autoridades a través de las Corporaciones Autónomas Regionales, señalando  en su Artículo 1°</w:t>
      </w:r>
      <w:r w:rsidDel="00000000" w:rsidR="00000000" w:rsidRPr="00000000">
        <w:rPr>
          <w:rFonts w:ascii="Arial" w:cs="Arial" w:eastAsia="Arial" w:hAnsi="Arial"/>
          <w:i w:val="1"/>
          <w:iCs w:val="1"/>
          <w:sz w:val="22"/>
          <w:szCs w:val="22"/>
          <w:rtl w:val="0"/>
        </w:rPr>
        <w:t xml:space="preserve"> “El Estado es el titular de la potestad sancionatoria en materia ambiental y la ejerce sin perjuicio de las competencias legales de otras autoridades a través del Ministerio de Ambiente, Vivienda y Desarrollo Territorial, las Corporaciones Autónomas Regionales, las de Desarrollo Sostenible, las Unidades Ambientales de los grandes centros urbanos a que se refiere el artículo 66 de la Ley 99 de 1993, los establecimientos públicos ambientales a que se refiere el artículo 13 de la Ley 768 de 2002 y la Unidad Administrativa Especial del Sistema de Parques Nacionales Naturales, Uaespnn, de conformidad con las competencias establecidas por la ley y los reglamentos”. </w:t>
      </w:r>
    </w:p>
    <w:p w:rsidR="00000000" w:rsidDel="00000000" w:rsidP="00000000" w:rsidRDefault="00000000" w:rsidRPr="00000000" w14:paraId="0000003D">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3E">
      <w:pPr>
        <w:jc w:val="both"/>
        <w:rPr>
          <w:rFonts w:ascii="Arial" w:cs="Arial" w:eastAsia="Arial" w:hAnsi="Arial"/>
          <w:i w:val="1"/>
          <w:iCs w:val="1"/>
          <w:sz w:val="22"/>
          <w:szCs w:val="22"/>
        </w:rPr>
      </w:pPr>
      <w:r w:rsidDel="00000000" w:rsidR="00000000" w:rsidRPr="00000000">
        <w:rPr>
          <w:rFonts w:ascii="Arial" w:cs="Arial" w:eastAsia="Arial" w:hAnsi="Arial"/>
          <w:b w:val="1"/>
          <w:bCs w:val="1"/>
          <w:i w:val="1"/>
          <w:iCs w:val="1"/>
          <w:sz w:val="22"/>
          <w:szCs w:val="22"/>
          <w:rtl w:val="0"/>
        </w:rPr>
        <w:t xml:space="preserve">“Parágrafo.</w:t>
      </w:r>
      <w:r w:rsidDel="00000000" w:rsidR="00000000" w:rsidRPr="00000000">
        <w:rPr>
          <w:rFonts w:ascii="Arial" w:cs="Arial" w:eastAsia="Arial" w:hAnsi="Arial"/>
          <w:i w:val="1"/>
          <w:iCs w:val="1"/>
          <w:sz w:val="22"/>
          <w:szCs w:val="22"/>
          <w:rtl w:val="0"/>
        </w:rPr>
        <w:t xml:space="preserve"> En materia ambiental, se presume la culpa o el dolo del infractor, lo cual dará lugar a las medidas preventivas. El infractor será sancionado definitivamente si no desvirtúa la presunción de culpa o dolo para lo cual tendrá la carga de la prueba y podrá utilizar todos los medios probatorios legales.”</w:t>
      </w:r>
    </w:p>
    <w:p w:rsidR="00000000" w:rsidDel="00000000" w:rsidP="00000000" w:rsidRDefault="00000000" w:rsidRPr="00000000" w14:paraId="0000003F">
      <w:pPr>
        <w:jc w:val="both"/>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jc w:val="both"/>
        <w:rPr>
          <w:rFonts w:ascii="Arial" w:cs="Arial" w:eastAsia="Arial" w:hAnsi="Arial"/>
          <w:i w:val="1"/>
          <w:iCs w:val="1"/>
          <w:color w:val="000000"/>
          <w:sz w:val="22"/>
          <w:szCs w:val="22"/>
        </w:rPr>
      </w:pPr>
      <w:r w:rsidDel="00000000" w:rsidR="00000000" w:rsidRPr="00000000">
        <w:rPr>
          <w:rFonts w:ascii="Arial" w:cs="Arial" w:eastAsia="Arial" w:hAnsi="Arial"/>
          <w:i w:val="1"/>
          <w:iCs w:val="1"/>
          <w:color w:val="000000"/>
          <w:sz w:val="22"/>
          <w:szCs w:val="22"/>
          <w:rtl w:val="0"/>
        </w:rPr>
        <w:t xml:space="preserve"> </w:t>
      </w:r>
    </w:p>
    <w:p w:rsidR="00000000" w:rsidDel="00000000" w:rsidP="00000000" w:rsidRDefault="00000000" w:rsidRPr="00000000" w14:paraId="00000041">
      <w:pPr>
        <w:pBdr>
          <w:top w:space="0" w:sz="0" w:val="nil"/>
          <w:left w:space="0" w:sz="0" w:val="nil"/>
          <w:bottom w:space="0" w:sz="0" w:val="nil"/>
          <w:right w:space="0" w:sz="0" w:val="nil"/>
          <w:between w:space="0" w:sz="0" w:val="nil"/>
        </w:pBdr>
        <w:ind w:left="283" w:firstLine="0"/>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u w:val="single"/>
          <w:rtl w:val="0"/>
        </w:rPr>
        <w:t xml:space="preserve">B) PROCEDIMIENTO</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ind w:left="720" w:firstLine="0"/>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3">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u w:val="single"/>
          <w:rtl w:val="0"/>
        </w:rPr>
        <w:t xml:space="preserve">Régimen jurídico aplicable:</w:t>
      </w:r>
      <w:r w:rsidDel="00000000" w:rsidR="00000000" w:rsidRPr="00000000">
        <w:rPr>
          <w:rFonts w:ascii="Arial" w:cs="Arial" w:eastAsia="Arial" w:hAnsi="Arial"/>
          <w:sz w:val="22"/>
          <w:szCs w:val="22"/>
          <w:rtl w:val="0"/>
        </w:rPr>
        <w:t xml:space="preserve"> Para efectos de adelantar el presente procedimiento administrativo sancionatorio, se aplicará lo dispuesto en la Ley 1437 de 2011, por cuanto los hechos evidenciados que dan origen al expediente SA-0049-2019, inicio con el informe técnico del 06 de agosto de 2019, elaborado por la Subdirección de Evaluación y Control Ambiental - SEYCA, bajo la vigencia de la Ley 1437 de 2011, que comenzó a regir a partir del 02 de julio de 2012, según el artículo 308 del Código de Procedimiento Administrativo y de lo Contencioso Administrativo.</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u w:val="single"/>
        </w:rPr>
      </w:pPr>
      <w:r w:rsidDel="00000000" w:rsidR="00000000" w:rsidRPr="00000000">
        <w:rPr>
          <w:rtl w:val="0"/>
        </w:rPr>
      </w:r>
    </w:p>
    <w:p w:rsidR="00000000" w:rsidDel="00000000" w:rsidP="00000000" w:rsidRDefault="00000000" w:rsidRPr="00000000" w14:paraId="00000045">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la Ley 1333 del 21 de julio de 2009, modificada por la Ley 2387 de 2024, consagra en su artículo tercero que “</w:t>
      </w:r>
      <w:r w:rsidDel="00000000" w:rsidR="00000000" w:rsidRPr="00000000">
        <w:rPr>
          <w:rFonts w:ascii="Arial" w:cs="Arial" w:eastAsia="Arial" w:hAnsi="Arial"/>
          <w:i w:val="1"/>
          <w:iCs w:val="1"/>
          <w:color w:val="000000"/>
          <w:sz w:val="22"/>
          <w:szCs w:val="22"/>
          <w:highlight w:val="white"/>
          <w:rtl w:val="0"/>
        </w:rPr>
        <w:t xml:space="preserve">Son aplicables al procedimiento sancionatorio ambiental los principios constitucionales y legales que rigen las actuaciones administrativas, y los principios ambientales prescritos en el artículo 9 del Código de Recursos Naturales Renovables Decreto Ley 2811 de 1974, 1 de la Ley 99 de 1993, la Ley 165 de 1994, la Ley 388 de 1997 y los demás principios contenidos en las disposiciones ambientales vigentes en que las sustituyan o modifiquen.”</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7">
      <w:pPr>
        <w:jc w:val="both"/>
        <w:rPr>
          <w:rFonts w:ascii="Arial" w:cs="Arial" w:eastAsia="Arial" w:hAnsi="Arial"/>
        </w:rPr>
      </w:pPr>
      <w:r w:rsidDel="00000000" w:rsidR="00000000" w:rsidRPr="00000000">
        <w:rPr>
          <w:rFonts w:ascii="Arial" w:cs="Arial" w:eastAsia="Arial" w:hAnsi="Arial"/>
          <w:color w:val="000000"/>
          <w:sz w:val="22"/>
          <w:szCs w:val="22"/>
          <w:rtl w:val="0"/>
        </w:rPr>
        <w:t xml:space="preserve">Que, a su vez, el artículo 5 de la misma Ley establece que “</w:t>
      </w:r>
      <w:r w:rsidDel="00000000" w:rsidR="00000000" w:rsidRPr="00000000">
        <w:rPr>
          <w:rFonts w:ascii="Arial" w:cs="Arial" w:eastAsia="Arial" w:hAnsi="Arial"/>
          <w:i w:val="1"/>
          <w:iCs w:val="1"/>
          <w:color w:val="000000"/>
          <w:sz w:val="22"/>
          <w:szCs w:val="22"/>
          <w:highlight w:val="white"/>
          <w:rtl w:val="0"/>
        </w:rPr>
        <w:t xml:space="preserve">Se considera infracción en materia ambiental toda acción u omisión que constituya violación de las normas contenidas en el Código de Recursos Naturales Renovables, Decreto Ley 2811 de 1974, en la Ley 99 de 1993, en la Ley 165 de 1994, las demás normas ambientales vigentes y en los actos administrativos con contenido ambiental expedidos por la autoridad ambiental competente. Será también constitutivo de infracción ambiental la comisión de un daño al medio ambiente, con las mismas condiciones que para configurar la responsabilidad civil extracontractual establece el Código Civil y la legislación complementaria, a saber: El daño, el hecho generador con culpa o dolo y el vínculo causal entre los dos. Cuando estos elementos se configuren darán lugar a una sanción administrativa ambiental, sin perjuicio de la responsabilidad que para terceros pueda generar el hecho en materia civil.</w:t>
      </w:r>
      <w:r w:rsidDel="00000000" w:rsidR="00000000" w:rsidRPr="00000000">
        <w:rPr>
          <w:rFonts w:ascii="Arial" w:cs="Arial" w:eastAsia="Arial" w:hAnsi="Arial"/>
          <w:i w:val="1"/>
          <w:iCs w:val="1"/>
          <w:color w:val="000000"/>
          <w:sz w:val="22"/>
          <w:szCs w:val="22"/>
          <w:rtl w:val="0"/>
        </w:rPr>
        <w:t xml:space="preserve">”.</w:t>
      </w:r>
      <w:r w:rsidDel="00000000" w:rsidR="00000000" w:rsidRPr="00000000">
        <w:rPr>
          <w:rFonts w:ascii="Arial" w:cs="Arial" w:eastAsia="Arial" w:hAnsi="Arial"/>
          <w:color w:val="000000"/>
          <w:sz w:val="22"/>
          <w:szCs w:val="22"/>
          <w:rtl w:val="0"/>
        </w:rPr>
        <w:t xml:space="preserve"> </w:t>
      </w:r>
      <w:r w:rsidDel="00000000" w:rsidR="00000000" w:rsidRPr="00000000">
        <w:rPr>
          <w:rtl w:val="0"/>
        </w:rPr>
      </w:r>
    </w:p>
    <w:p w:rsidR="00000000" w:rsidDel="00000000" w:rsidP="00000000" w:rsidRDefault="00000000" w:rsidRPr="00000000" w14:paraId="00000048">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el artículo 22 de la Ley 1333 de 2009 señala que: </w:t>
      </w:r>
      <w:r w:rsidDel="00000000" w:rsidR="00000000" w:rsidRPr="00000000">
        <w:rPr>
          <w:rFonts w:ascii="Arial" w:cs="Arial" w:eastAsia="Arial" w:hAnsi="Arial"/>
          <w:i w:val="1"/>
          <w:iCs w:val="1"/>
          <w:color w:val="000000"/>
          <w:sz w:val="22"/>
          <w:szCs w:val="22"/>
          <w:rtl w:val="0"/>
        </w:rPr>
        <w:t xml:space="preserve">“La autoridad ambiental competente podrá realizar todo tipo de diligencias administrativas como visitas técnicas, toma de muestras, exámenes de laboratorio, mediciones, caracterizaciones y todas aquellas actuaciones que estime necesarias y pertinentes para determinar con certeza los hechos constitutivos de infracción y completar los elementos probatorios.”</w:t>
      </w:r>
      <w:r w:rsidDel="00000000" w:rsidR="00000000" w:rsidRPr="00000000">
        <w:rPr>
          <w:rFonts w:ascii="Arial" w:cs="Arial" w:eastAsia="Arial" w:hAnsi="Arial"/>
          <w:color w:val="000000"/>
          <w:sz w:val="22"/>
          <w:szCs w:val="22"/>
          <w:rtl w:val="0"/>
        </w:rPr>
        <w:t xml:space="preserve"> </w:t>
      </w:r>
    </w:p>
    <w:p w:rsidR="00000000" w:rsidDel="00000000" w:rsidP="00000000" w:rsidRDefault="00000000" w:rsidRPr="00000000" w14:paraId="0000004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B">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Establece la Ley 1333 de 2009, en su artículo 26: </w:t>
      </w:r>
      <w:r w:rsidDel="00000000" w:rsidR="00000000" w:rsidRPr="00000000">
        <w:rPr>
          <w:rFonts w:ascii="Arial" w:cs="Arial" w:eastAsia="Arial" w:hAnsi="Arial"/>
          <w:i w:val="1"/>
          <w:iCs w:val="1"/>
          <w:sz w:val="22"/>
          <w:szCs w:val="22"/>
          <w:rtl w:val="0"/>
        </w:rPr>
        <w:t xml:space="preserve">"Práctica de pruebas. Vencido el término indicado en el artículo anterior, la autoridad ambiental ordenará la práctica de las pruebas que hubieren sido solicitadas de acuerdo con los criterios de conducencia, pertinencia y necesidad. Además, ordenará de oficio las que considere necesarias. Las pruebas ordenadas se practicarán en un término de treinta (30) días, el cual podrá prorrogarse por una sola vez y hasta por 60 días, soportado en un concepto técnico que establezca la necesidad de un plazo mayor para la ejecución de las pruebas". </w:t>
      </w:r>
      <w:r w:rsidDel="00000000" w:rsidR="00000000" w:rsidRPr="00000000">
        <w:rPr>
          <w:rtl w:val="0"/>
        </w:rPr>
      </w:r>
    </w:p>
    <w:p w:rsidR="00000000" w:rsidDel="00000000" w:rsidP="00000000" w:rsidRDefault="00000000" w:rsidRPr="00000000" w14:paraId="0000004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4D">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Que según los artículos 164 y 165 de la Ley 1564 de 2012, Código General del Proceso; disponen lo siguiente respecto a las pruebas:</w:t>
      </w:r>
    </w:p>
    <w:p w:rsidR="00000000" w:rsidDel="00000000" w:rsidP="00000000" w:rsidRDefault="00000000" w:rsidRPr="00000000" w14:paraId="0000004E">
      <w:pPr>
        <w:rPr>
          <w:rFonts w:ascii="Arial" w:cs="Arial" w:eastAsia="Arial" w:hAnsi="Arial"/>
          <w:i w:val="1"/>
          <w:iCs w:val="1"/>
          <w:sz w:val="22"/>
          <w:szCs w:val="22"/>
        </w:rPr>
      </w:pPr>
      <w:r w:rsidDel="00000000" w:rsidR="00000000" w:rsidRPr="00000000">
        <w:rPr>
          <w:rtl w:val="0"/>
        </w:rPr>
      </w:r>
    </w:p>
    <w:p w:rsidR="00000000" w:rsidDel="00000000" w:rsidP="00000000" w:rsidRDefault="00000000" w:rsidRPr="00000000" w14:paraId="0000004F">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"Artículo 164. Necesidad de la prueba. Toda decisión judicial debe fundarse en las pruebas regular y oportunamente allegadas al proceso. Las pruebas obtenidas con violación del debido proceso son nulas de pleno derecho.</w:t>
      </w:r>
    </w:p>
    <w:p w:rsidR="00000000" w:rsidDel="00000000" w:rsidP="00000000" w:rsidRDefault="00000000" w:rsidRPr="00000000" w14:paraId="0000005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1">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Artículo 165. Medios de prueba. Son medios de prueba la declaración de parte, la confesión, el juramento, el testimonio de terceros, el dictamen pericial, la inspección judicial, los documentos, los indicios, los informes y cualesquiera otros medios que sean útiles para la formación del convencimiento del juez.</w:t>
      </w:r>
    </w:p>
    <w:p w:rsidR="00000000" w:rsidDel="00000000" w:rsidP="00000000" w:rsidRDefault="00000000" w:rsidRPr="00000000" w14:paraId="0000005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El juez practicará las pruebas no previstas en este código de acuerdo con las disposiciones que regulen medios semejantes o según su prudente juicio, preservando los principios y garantías constitucionales."</w:t>
      </w:r>
    </w:p>
    <w:p w:rsidR="00000000" w:rsidDel="00000000" w:rsidP="00000000" w:rsidRDefault="00000000" w:rsidRPr="00000000" w14:paraId="00000054">
      <w:pPr>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5">
      <w:pPr>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6">
      <w:pPr>
        <w:ind w:left="720" w:firstLine="0"/>
        <w:jc w:val="both"/>
        <w:rPr>
          <w:rFonts w:ascii="Arial" w:cs="Arial" w:eastAsia="Arial" w:hAnsi="Arial"/>
          <w:color w:val="000000"/>
          <w:sz w:val="16"/>
          <w:szCs w:val="16"/>
        </w:rPr>
      </w:pPr>
      <w:r w:rsidDel="00000000" w:rsidR="00000000" w:rsidRPr="00000000">
        <w:rPr>
          <w:rtl w:val="0"/>
        </w:rPr>
      </w:r>
    </w:p>
    <w:p w:rsidR="00000000" w:rsidDel="00000000" w:rsidP="00000000" w:rsidRDefault="00000000" w:rsidRPr="00000000" w14:paraId="00000057">
      <w:pPr>
        <w:numPr>
          <w:ilvl w:val="0"/>
          <w:numId w:val="5"/>
        </w:numPr>
        <w:ind w:left="1080" w:hanging="720"/>
        <w:jc w:val="center"/>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CONSIDERACIONES DEL DESPACHO</w:t>
      </w:r>
    </w:p>
    <w:p w:rsidR="00000000" w:rsidDel="00000000" w:rsidP="00000000" w:rsidRDefault="00000000" w:rsidRPr="00000000" w14:paraId="00000058">
      <w:pPr>
        <w:jc w:val="center"/>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5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Que se procederá a realizar la respectiva etapa procesal probatoria, con el fin de establecer la fijación de los hechos y obtener con certeza de las infracciones y/o afectaciones ambientales ocasionadas y determinar el camino procesal a seguir, esta Autoridad Ambiental analizará las pruebas que obran en el expediente SA-0049-2019.</w:t>
      </w:r>
    </w:p>
    <w:p w:rsidR="00000000" w:rsidDel="00000000" w:rsidP="00000000" w:rsidRDefault="00000000" w:rsidRPr="00000000" w14:paraId="0000005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B">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Ahora bien, considerando que el procedimiento especial sancionatorio ambiental regulado en la Ley 1333 de 2009 no prevé los criterios para determinar la pertinencia, conducencia y necesidad de los medios probatorios, pero sí lo relacionado con la Práctica de pruebas, con respecto a las formalidades que preceden la valoración de las mismas, las cuales son requeridas de manera oficiosa por la Autoridad que adelanta el proceso; Así mismo, acudiendo a lo establecido en los artículos 47 a 52 del Código de Procedimiento Administrativo y de lo Contencioso Administrativo, en donde se contempla el procedimiento administrativo sancionatorio, se evidencia que dichas disposiciones tampoco definen los criterios de admisión de los medios de prueba, lo que a la postre obliga a acudir a lo preceptuado en el Artículo 164 y subsiguientes, de la Ley 1564 de 2012 o Código General del Proceso.</w:t>
      </w:r>
    </w:p>
    <w:p w:rsidR="00000000" w:rsidDel="00000000" w:rsidP="00000000" w:rsidRDefault="00000000" w:rsidRPr="00000000" w14:paraId="0000005C">
      <w:pPr>
        <w:tabs>
          <w:tab w:val="center" w:leader="none" w:pos="4419"/>
          <w:tab w:val="left" w:leader="none" w:pos="7140"/>
        </w:tabs>
        <w:jc w:val="both"/>
        <w:rPr>
          <w:rFonts w:ascii="Arial" w:cs="Arial" w:eastAsia="Arial" w:hAnsi="Arial"/>
          <w:color w:val="000000"/>
          <w:sz w:val="22"/>
          <w:szCs w:val="22"/>
          <w:highlight w:val="cyan"/>
        </w:rPr>
      </w:pPr>
      <w:r w:rsidDel="00000000" w:rsidR="00000000" w:rsidRPr="00000000">
        <w:rPr>
          <w:rtl w:val="0"/>
        </w:rPr>
      </w:r>
    </w:p>
    <w:p w:rsidR="00000000" w:rsidDel="00000000" w:rsidP="00000000" w:rsidRDefault="00000000" w:rsidRPr="00000000" w14:paraId="0000005D">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 acuerdo con lo anterior y partiendo de la necesidad procesal de la decisión administrativa, es necesario indicar que éstas deben ceñirse al tema entendido como los "hechos que es necesario probar”', de forma tal que la adecuación de un medio de prueba en un proceso en concreto determina su </w:t>
      </w:r>
      <w:r w:rsidDel="00000000" w:rsidR="00000000" w:rsidRPr="00000000">
        <w:rPr>
          <w:rFonts w:ascii="Arial" w:cs="Arial" w:eastAsia="Arial" w:hAnsi="Arial"/>
          <w:color w:val="000000"/>
          <w:sz w:val="22"/>
          <w:szCs w:val="22"/>
          <w:u w:val="single"/>
          <w:rtl w:val="0"/>
        </w:rPr>
        <w:t xml:space="preserve">pertinencia</w:t>
      </w:r>
      <w:r w:rsidDel="00000000" w:rsidR="00000000" w:rsidRPr="00000000">
        <w:rPr>
          <w:rFonts w:ascii="Arial" w:cs="Arial" w:eastAsia="Arial" w:hAnsi="Arial"/>
          <w:color w:val="000000"/>
          <w:sz w:val="22"/>
          <w:szCs w:val="22"/>
          <w:rtl w:val="0"/>
        </w:rPr>
        <w:t xml:space="preserve">, es decir, las pruebas deben buscar que el hecho que se pretende demostrar tenga una relación directa con el hecho investigado, por ello, la finalidad de la prueba es la fijación de los hechos, para así corroborar la afectación que se está efectuando.</w:t>
      </w:r>
    </w:p>
    <w:p w:rsidR="00000000" w:rsidDel="00000000" w:rsidP="00000000" w:rsidRDefault="00000000" w:rsidRPr="00000000" w14:paraId="0000005E">
      <w:pPr>
        <w:tabs>
          <w:tab w:val="center" w:leader="none" w:pos="4419"/>
          <w:tab w:val="left" w:leader="none" w:pos="714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5F">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La </w:t>
      </w:r>
      <w:r w:rsidDel="00000000" w:rsidR="00000000" w:rsidRPr="00000000">
        <w:rPr>
          <w:rFonts w:ascii="Arial" w:cs="Arial" w:eastAsia="Arial" w:hAnsi="Arial"/>
          <w:color w:val="000000"/>
          <w:sz w:val="22"/>
          <w:szCs w:val="22"/>
          <w:u w:val="single"/>
          <w:rtl w:val="0"/>
        </w:rPr>
        <w:t xml:space="preserve">necesidad</w:t>
      </w:r>
      <w:r w:rsidDel="00000000" w:rsidR="00000000" w:rsidRPr="00000000">
        <w:rPr>
          <w:rFonts w:ascii="Arial" w:cs="Arial" w:eastAsia="Arial" w:hAnsi="Arial"/>
          <w:color w:val="000000"/>
          <w:sz w:val="22"/>
          <w:szCs w:val="22"/>
          <w:rtl w:val="0"/>
        </w:rPr>
        <w:t xml:space="preserve"> de la prueba es que no se trate de un medio de prueba superfluo, o lo que es lo mismo, </w:t>
      </w:r>
      <w:r w:rsidDel="00000000" w:rsidR="00000000" w:rsidRPr="00000000">
        <w:rPr>
          <w:rFonts w:ascii="Arial" w:cs="Arial" w:eastAsia="Arial" w:hAnsi="Arial"/>
          <w:color w:val="000000"/>
          <w:sz w:val="22"/>
          <w:szCs w:val="22"/>
          <w:u w:val="single"/>
          <w:rtl w:val="0"/>
        </w:rPr>
        <w:t xml:space="preserve">que no verse sobre hechos que ya están demostrados dentro del proceso</w:t>
      </w:r>
      <w:r w:rsidDel="00000000" w:rsidR="00000000" w:rsidRPr="00000000">
        <w:rPr>
          <w:rFonts w:ascii="Arial" w:cs="Arial" w:eastAsia="Arial" w:hAnsi="Arial"/>
          <w:color w:val="000000"/>
          <w:sz w:val="22"/>
          <w:szCs w:val="22"/>
          <w:rtl w:val="0"/>
        </w:rPr>
        <w:t xml:space="preserve">. Es por ello que, para evitar la repetición de pruebas en el plenario, la autoridad podrá valorar formalmente esta condición, salvo que sea verdaderamente necesaria para su confrontación procesal. </w:t>
      </w:r>
    </w:p>
    <w:p w:rsidR="00000000" w:rsidDel="00000000" w:rsidP="00000000" w:rsidRDefault="00000000" w:rsidRPr="00000000" w14:paraId="00000060">
      <w:pPr>
        <w:tabs>
          <w:tab w:val="center" w:leader="none" w:pos="4419"/>
          <w:tab w:val="left" w:leader="none" w:pos="7140"/>
        </w:tabs>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1">
      <w:pPr>
        <w:tabs>
          <w:tab w:val="center" w:leader="none" w:pos="4419"/>
          <w:tab w:val="left" w:leader="none" w:pos="7140"/>
        </w:tabs>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Sumado a lo anterior, tenemos que de acuerdo con las normas procedimentales y la concepción de los fines de la prueba, estas están vinculadas a los fines generales del proceso (aplicar el derecho a un caso controvertido mediante una decisión, pues es la función jurisdiccional), pero también tienen las pruebas sus fines particulares o específicos, que coadyuvan para la obtención del fin general: </w:t>
      </w:r>
      <w:r w:rsidDel="00000000" w:rsidR="00000000" w:rsidRPr="00000000">
        <w:rPr>
          <w:rFonts w:ascii="Arial" w:cs="Arial" w:eastAsia="Arial" w:hAnsi="Arial"/>
          <w:b w:val="1"/>
          <w:bCs w:val="1"/>
          <w:color w:val="000000"/>
          <w:sz w:val="22"/>
          <w:szCs w:val="22"/>
          <w:rtl w:val="0"/>
        </w:rPr>
        <w:t xml:space="preserve">lograr producir la convicción del funcionario competente, aportarle un conocimiento de los hechos mediante la formación sobre ellos de juicios verdaderos, en grado de certeza, llegando lo más cerca posible a la realidad. </w:t>
      </w:r>
      <w:r w:rsidDel="00000000" w:rsidR="00000000" w:rsidRPr="00000000">
        <w:rPr>
          <w:rtl w:val="0"/>
        </w:rPr>
      </w:r>
    </w:p>
    <w:p w:rsidR="00000000" w:rsidDel="00000000" w:rsidP="00000000" w:rsidRDefault="00000000" w:rsidRPr="00000000" w14:paraId="00000062">
      <w:pPr>
        <w:tabs>
          <w:tab w:val="center" w:leader="none" w:pos="4419"/>
          <w:tab w:val="left" w:leader="none" w:pos="7140"/>
        </w:tabs>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063">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 acuerdo a lo anterior y teniendo en cuenta que las pruebas deben cumplir los requisitos de </w:t>
      </w:r>
      <w:r w:rsidDel="00000000" w:rsidR="00000000" w:rsidRPr="00000000">
        <w:rPr>
          <w:rFonts w:ascii="Arial" w:cs="Arial" w:eastAsia="Arial" w:hAnsi="Arial"/>
          <w:sz w:val="22"/>
          <w:szCs w:val="22"/>
          <w:u w:val="single"/>
          <w:rtl w:val="0"/>
        </w:rPr>
        <w:t xml:space="preserve">conducencia, pertinencia, utilidad y legalidad</w:t>
      </w:r>
      <w:r w:rsidDel="00000000" w:rsidR="00000000" w:rsidRPr="00000000">
        <w:rPr>
          <w:rFonts w:ascii="Arial" w:cs="Arial" w:eastAsia="Arial" w:hAnsi="Arial"/>
          <w:sz w:val="22"/>
          <w:szCs w:val="22"/>
          <w:rtl w:val="0"/>
        </w:rPr>
        <w:t xml:space="preserve">; se entenderán por tanto que la conducencia consiste en que el medio probatorio propuesto sea adecuado para demostrar el hecho. La pertinencia, por su parte, se fundamenta en que el hecho a demostrar tenga relación con los demás hechos que interesan al proceso. La utilidad, a su turno, radica en que el hecho que se pretende demostrar con la prueba no debe estar ya demostrado con otro medio probatorio y finalmente, las pruebas, además de tener estas características, deben estar permitidas por la ley.</w:t>
      </w:r>
    </w:p>
    <w:p w:rsidR="00000000" w:rsidDel="00000000" w:rsidP="00000000" w:rsidRDefault="00000000" w:rsidRPr="00000000" w14:paraId="0000006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En el caso en concreto, el día 22 de abril de 2026, la señora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LUCILA SUÁREZ </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DE</w:t>
      </w:r>
      <w:r w:rsidDel="00000000" w:rsidR="00000000" w:rsidRPr="00000000">
        <w:rPr>
          <w:rFonts w:ascii="Arial" w:cs="Arial" w:eastAsia="Arial" w:hAnsi="Arial"/>
          <w:b w:val="1"/>
          <w:bCs w:val="1"/>
          <w:i w:val="0"/>
          <w:iCs w:val="0"/>
          <w:smallCaps w:val="0"/>
          <w:strike w:val="0"/>
          <w:color w:val="000000"/>
          <w:sz w:val="22"/>
          <w:szCs w:val="22"/>
          <w:u w:val="none"/>
          <w:shd w:fill="auto" w:val="clear"/>
          <w:vertAlign w:val="baseline"/>
          <w:rtl w:val="0"/>
        </w:rPr>
        <w:t xml:space="preserve"> PALMA,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identificada con la cédula de ciudadanía No. 51.602.866, presentó ante esta Autoridad Ambiental sus descargos, en los que se solicita se incorporen las siguientes pruebas documentales: </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Registro fotográfico actual donde se evidencia la debida recuperación, restauración y conservación del espacio que compone el terreno objeto de este asunto, toda vez que se mantiene su seguridad física y su capacidad productora. </w:t>
      </w:r>
    </w:p>
    <w:p w:rsidR="00000000" w:rsidDel="00000000" w:rsidP="00000000" w:rsidRDefault="00000000" w:rsidRPr="00000000" w14:paraId="0000006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Actas de visitas posteriores de parte de funcionarios de la CDMB, en las cuales quedó consignado el no desarrollo de la actividad reprochada y la no afectación ambiental. </w:t>
      </w:r>
    </w:p>
    <w:p w:rsidR="00000000" w:rsidDel="00000000" w:rsidP="00000000" w:rsidRDefault="00000000" w:rsidRPr="00000000" w14:paraId="0000006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Historia clínica con diagnósticos de las enfermedades que padece la investigada. </w:t>
      </w:r>
    </w:p>
    <w:p w:rsidR="00000000" w:rsidDel="00000000" w:rsidP="00000000" w:rsidRDefault="00000000" w:rsidRPr="00000000" w14:paraId="0000006A">
      <w:pPr>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Se señala, que una vez revisada las pruebas documentales a incorporar a petición del investigado, se evidencia que las mismas reposan en el escrito de descargos, razón por la cual este Despacho procederá a incorporarlas.</w:t>
      </w:r>
    </w:p>
    <w:p w:rsidR="00000000" w:rsidDel="00000000" w:rsidP="00000000" w:rsidRDefault="00000000" w:rsidRPr="00000000" w14:paraId="0000006C">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D">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Así las cosas, una vez analizado el expediente SA-0049-2019, es pertinente tener como pruebas documentales por parte de la Autoridad Ambiental las siguientes:</w:t>
      </w:r>
    </w:p>
    <w:p w:rsidR="00000000" w:rsidDel="00000000" w:rsidP="00000000" w:rsidRDefault="00000000" w:rsidRPr="00000000" w14:paraId="0000006E">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6F">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 097-2019 del 06 de agosto de 2019</w:t>
      </w:r>
    </w:p>
    <w:p w:rsidR="00000000" w:rsidDel="00000000" w:rsidP="00000000" w:rsidRDefault="00000000" w:rsidRPr="00000000" w14:paraId="00000070">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técnico para la identificación y valoración de una presunta afectación ambiental del 05 de agosto de 2019. </w:t>
      </w:r>
    </w:p>
    <w:p w:rsidR="00000000" w:rsidDel="00000000" w:rsidP="00000000" w:rsidRDefault="00000000" w:rsidRPr="00000000" w14:paraId="00000071">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de visita técnica grupo elite ambiental – GEA del 01 de agosto de 2018. </w:t>
      </w:r>
    </w:p>
    <w:p w:rsidR="00000000" w:rsidDel="00000000" w:rsidP="00000000" w:rsidRDefault="00000000" w:rsidRPr="00000000" w14:paraId="00000072">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medida preventiva del 01 de agosto de 2019. </w:t>
      </w:r>
    </w:p>
    <w:p w:rsidR="00000000" w:rsidDel="00000000" w:rsidP="00000000" w:rsidRDefault="00000000" w:rsidRPr="00000000" w14:paraId="00000073">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349 del 06 de agosto de 2019. </w:t>
      </w:r>
    </w:p>
    <w:p w:rsidR="00000000" w:rsidDel="00000000" w:rsidP="00000000" w:rsidRDefault="00000000" w:rsidRPr="00000000" w14:paraId="00000074">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notificación del 20 de enero de 2020 del Auto No. 349 del 06 de agosto de 2019.</w:t>
      </w:r>
    </w:p>
    <w:p w:rsidR="00000000" w:rsidDel="00000000" w:rsidP="00000000" w:rsidRDefault="00000000" w:rsidRPr="00000000" w14:paraId="00000075">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de visita técnica de seguimiento del 21 de junio de 2021. </w:t>
      </w:r>
    </w:p>
    <w:p w:rsidR="00000000" w:rsidDel="00000000" w:rsidP="00000000" w:rsidRDefault="00000000" w:rsidRPr="00000000" w14:paraId="00000076">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782 del 02 de agosto de 2021. </w:t>
      </w:r>
    </w:p>
    <w:p w:rsidR="00000000" w:rsidDel="00000000" w:rsidP="00000000" w:rsidRDefault="00000000" w:rsidRPr="00000000" w14:paraId="00000077">
      <w:pPr>
        <w:numPr>
          <w:ilvl w:val="0"/>
          <w:numId w:val="4"/>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notificación del 30 de agosto de 2021 del Auto No. 782 del 02 de agosto de 2021.</w:t>
      </w:r>
    </w:p>
    <w:p w:rsidR="00000000" w:rsidDel="00000000" w:rsidP="00000000" w:rsidRDefault="00000000" w:rsidRPr="00000000" w14:paraId="00000078">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79">
      <w:pPr>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Para el caso concreto se procederá a establecer la fijación de los hechos y obtener con certeza de las infracciones y/o afectaciones ambientales ocasionadas, con el objeto de determinar el camino procesal a seguir, esta autoridad ambiental analizará las pruebas que obran en el expediente SA-0049-2019. </w:t>
      </w:r>
    </w:p>
    <w:p w:rsidR="00000000" w:rsidDel="00000000" w:rsidP="00000000" w:rsidRDefault="00000000" w:rsidRPr="00000000" w14:paraId="0000007A">
      <w:pPr>
        <w:jc w:val="both"/>
        <w:rPr>
          <w:rFonts w:ascii="Arial" w:cs="Arial" w:eastAsia="Arial" w:hAnsi="Arial"/>
        </w:rPr>
      </w:pPr>
      <w:r w:rsidDel="00000000" w:rsidR="00000000" w:rsidRPr="00000000">
        <w:rPr>
          <w:rtl w:val="0"/>
        </w:rPr>
      </w:r>
    </w:p>
    <w:p w:rsidR="00000000" w:rsidDel="00000000" w:rsidP="00000000" w:rsidRDefault="00000000" w:rsidRPr="00000000" w14:paraId="0000007B">
      <w:pPr>
        <w:jc w:val="both"/>
        <w:rPr>
          <w:rFonts w:ascii="Arial" w:cs="Arial" w:eastAsia="Arial" w:hAnsi="Arial"/>
        </w:rPr>
      </w:pPr>
      <w:r w:rsidDel="00000000" w:rsidR="00000000" w:rsidRPr="00000000">
        <w:rPr>
          <w:rFonts w:ascii="Arial" w:cs="Arial" w:eastAsia="Arial" w:hAnsi="Arial"/>
          <w:color w:val="000000"/>
          <w:sz w:val="22"/>
          <w:szCs w:val="22"/>
          <w:rtl w:val="0"/>
        </w:rPr>
        <w:t xml:space="preserve">En mérito de lo expuesto,</w:t>
      </w:r>
      <w:r w:rsidDel="00000000" w:rsidR="00000000" w:rsidRPr="00000000">
        <w:rPr>
          <w:rtl w:val="0"/>
        </w:rPr>
      </w:r>
    </w:p>
    <w:p w:rsidR="00000000" w:rsidDel="00000000" w:rsidP="00000000" w:rsidRDefault="00000000" w:rsidRPr="00000000" w14:paraId="0000007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7D">
      <w:pPr>
        <w:tabs>
          <w:tab w:val="left" w:leader="none" w:pos="-720"/>
        </w:tabs>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DISPONE:</w:t>
      </w:r>
    </w:p>
    <w:p w:rsidR="00000000" w:rsidDel="00000000" w:rsidP="00000000" w:rsidRDefault="00000000" w:rsidRPr="00000000" w14:paraId="0000007E">
      <w:pPr>
        <w:tabs>
          <w:tab w:val="left" w:leader="none" w:pos="-720"/>
        </w:tabs>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7F">
      <w:pPr>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ARTÍCULO PRIMERO: ABSTENERSE DE ABRIR PERIODO PROBATORIO, </w:t>
      </w:r>
      <w:r w:rsidDel="00000000" w:rsidR="00000000" w:rsidRPr="00000000">
        <w:rPr>
          <w:rFonts w:ascii="Arial" w:cs="Arial" w:eastAsia="Arial" w:hAnsi="Arial"/>
          <w:sz w:val="22"/>
          <w:szCs w:val="22"/>
          <w:rtl w:val="0"/>
        </w:rPr>
        <w:t xml:space="preserve">motivo por el cual no se aplicará el término de los treinta (30) días para la práctica de pruebas, dispuestos en el artículo 26 de la Ley 1333 de 2009, al no encontrarse pruebas para practicar, diferentes a las documentales ya incorporadas en el expediente, las cuales serán valoradas en la oportunidad procesal correspondiente, por las razones expuestas en la parte motiva del presente acto administrativo.</w:t>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1">
      <w:pPr>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ARTÍCULO SEGUNDO: TENER </w:t>
      </w:r>
      <w:r w:rsidDel="00000000" w:rsidR="00000000" w:rsidRPr="00000000">
        <w:rPr>
          <w:rFonts w:ascii="Arial" w:cs="Arial" w:eastAsia="Arial" w:hAnsi="Arial"/>
          <w:sz w:val="22"/>
          <w:szCs w:val="22"/>
          <w:rtl w:val="0"/>
        </w:rPr>
        <w:t xml:space="preserve">como pruebas documentales por parte de la Autoridad Ambiental, la totalidad de las obrantes en el expediente sancionatorio</w:t>
      </w:r>
      <w:r w:rsidDel="00000000" w:rsidR="00000000" w:rsidRPr="00000000">
        <w:rPr>
          <w:rFonts w:ascii="Arial" w:cs="Arial" w:eastAsia="Arial" w:hAnsi="Arial"/>
          <w:b w:val="1"/>
          <w:bCs w:val="1"/>
          <w:sz w:val="22"/>
          <w:szCs w:val="22"/>
          <w:rtl w:val="0"/>
        </w:rPr>
        <w:t xml:space="preserve"> SA-0049-2019:</w:t>
      </w:r>
    </w:p>
    <w:p w:rsidR="00000000" w:rsidDel="00000000" w:rsidP="00000000" w:rsidRDefault="00000000" w:rsidRPr="00000000" w14:paraId="0000008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3">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Memorando SEYCA 097-2019 del 06 de agosto de 2019</w:t>
      </w:r>
    </w:p>
    <w:p w:rsidR="00000000" w:rsidDel="00000000" w:rsidP="00000000" w:rsidRDefault="00000000" w:rsidRPr="00000000" w14:paraId="00000084">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técnico para la identificación y valoración de una presunta afectación ambiental del 05 de agosto de 2019. </w:t>
      </w:r>
    </w:p>
    <w:p w:rsidR="00000000" w:rsidDel="00000000" w:rsidP="00000000" w:rsidRDefault="00000000" w:rsidRPr="00000000" w14:paraId="00000085">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de visita técnica grupo elite ambiental – GEA del 01 de agosto de 2018. </w:t>
      </w:r>
    </w:p>
    <w:p w:rsidR="00000000" w:rsidDel="00000000" w:rsidP="00000000" w:rsidRDefault="00000000" w:rsidRPr="00000000" w14:paraId="00000086">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Acta de medida preventiva del 01 de agosto de 2019. </w:t>
      </w:r>
    </w:p>
    <w:p w:rsidR="00000000" w:rsidDel="00000000" w:rsidP="00000000" w:rsidRDefault="00000000" w:rsidRPr="00000000" w14:paraId="00000087">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349 del 06 de agosto de 2019. </w:t>
      </w:r>
    </w:p>
    <w:p w:rsidR="00000000" w:rsidDel="00000000" w:rsidP="00000000" w:rsidRDefault="00000000" w:rsidRPr="00000000" w14:paraId="00000088">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notificación del 20 de enero de 2020 del Auto No. 349 del 06 de agosto de 2019.</w:t>
      </w:r>
    </w:p>
    <w:p w:rsidR="00000000" w:rsidDel="00000000" w:rsidP="00000000" w:rsidRDefault="00000000" w:rsidRPr="00000000" w14:paraId="00000089">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Informe de visita técnica de seguimiento del 21 de junio de 2021. </w:t>
      </w:r>
    </w:p>
    <w:p w:rsidR="00000000" w:rsidDel="00000000" w:rsidP="00000000" w:rsidRDefault="00000000" w:rsidRPr="00000000" w14:paraId="0000008A">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Auto No. 782 del 02 de agosto de 2021. </w:t>
      </w:r>
    </w:p>
    <w:p w:rsidR="00000000" w:rsidDel="00000000" w:rsidP="00000000" w:rsidRDefault="00000000" w:rsidRPr="00000000" w14:paraId="0000008B">
      <w:pPr>
        <w:numPr>
          <w:ilvl w:val="0"/>
          <w:numId w:val="2"/>
        </w:numPr>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Constancia de notificación del 30 de agosto de 2021 del Auto No. 782 del 02 de agosto de 2021.</w:t>
      </w:r>
    </w:p>
    <w:p w:rsidR="00000000" w:rsidDel="00000000" w:rsidP="00000000" w:rsidRDefault="00000000" w:rsidRPr="00000000" w14:paraId="0000008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TERCERO: </w:t>
      </w:r>
      <w:r w:rsidDel="00000000" w:rsidR="00000000" w:rsidRPr="00000000">
        <w:rPr>
          <w:rFonts w:ascii="Arial" w:cs="Arial" w:eastAsia="Arial" w:hAnsi="Arial"/>
          <w:b w:val="1"/>
          <w:bCs w:val="1"/>
          <w:sz w:val="22"/>
          <w:szCs w:val="22"/>
          <w:rtl w:val="0"/>
        </w:rPr>
        <w:t xml:space="preserve">TENER </w:t>
      </w:r>
      <w:r w:rsidDel="00000000" w:rsidR="00000000" w:rsidRPr="00000000">
        <w:rPr>
          <w:rFonts w:ascii="Arial" w:cs="Arial" w:eastAsia="Arial" w:hAnsi="Arial"/>
          <w:sz w:val="22"/>
          <w:szCs w:val="22"/>
          <w:rtl w:val="0"/>
        </w:rPr>
        <w:t xml:space="preserve">como pruebas documentales por parte de la señora </w:t>
      </w:r>
      <w:r w:rsidDel="00000000" w:rsidR="00000000" w:rsidRPr="00000000">
        <w:rPr>
          <w:rFonts w:ascii="Arial" w:cs="Arial" w:eastAsia="Arial" w:hAnsi="Arial"/>
          <w:b w:val="1"/>
          <w:bCs w:val="1"/>
          <w:color w:val="000000"/>
          <w:sz w:val="22"/>
          <w:szCs w:val="22"/>
          <w:rtl w:val="0"/>
        </w:rPr>
        <w:t xml:space="preserve">LUCILA SUÁREZ DE PALMA, </w:t>
      </w:r>
      <w:r w:rsidDel="00000000" w:rsidR="00000000" w:rsidRPr="00000000">
        <w:rPr>
          <w:rFonts w:ascii="Arial" w:cs="Arial" w:eastAsia="Arial" w:hAnsi="Arial"/>
          <w:color w:val="000000"/>
          <w:sz w:val="22"/>
          <w:szCs w:val="22"/>
          <w:rtl w:val="0"/>
        </w:rPr>
        <w:t xml:space="preserve">identificada con la cédula de ciudadanía No. 51.602.866, las siguientes:</w:t>
      </w:r>
    </w:p>
    <w:p w:rsidR="00000000" w:rsidDel="00000000" w:rsidP="00000000" w:rsidRDefault="00000000" w:rsidRPr="00000000" w14:paraId="0000008E">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8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Registro fotográfico actual donde se evidencia la debida recuperación, restauración y conservación del espacio que compone el terreno objeto de este asunto, toda vez que se mantiene su seguridad física y su capacidad productora. </w:t>
      </w:r>
    </w:p>
    <w:p w:rsidR="00000000" w:rsidDel="00000000" w:rsidP="00000000" w:rsidRDefault="00000000" w:rsidRPr="00000000" w14:paraId="0000009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Actas de visitas posteriores de parte de funcionarios de la CDMB, en las cuales quedó consignado el no desarrollo de la actividad reprochada y la no afectación ambiental. </w:t>
      </w:r>
    </w:p>
    <w:p w:rsidR="00000000" w:rsidDel="00000000" w:rsidP="00000000" w:rsidRDefault="00000000" w:rsidRPr="00000000" w14:paraId="0000009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Historia clínica con diagnósticos de las enfermedades que padece la investigada. </w:t>
      </w:r>
    </w:p>
    <w:p w:rsidR="00000000" w:rsidDel="00000000" w:rsidP="00000000" w:rsidRDefault="00000000" w:rsidRPr="00000000" w14:paraId="00000092">
      <w:pPr>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b w:val="1"/>
          <w:bCs w:val="1"/>
          <w:sz w:val="22"/>
          <w:szCs w:val="22"/>
          <w:rtl w:val="0"/>
        </w:rPr>
        <w:t xml:space="preserve">ARTÍCULO CUARTO: </w:t>
      </w:r>
      <w:r w:rsidDel="00000000" w:rsidR="00000000" w:rsidRPr="00000000">
        <w:rPr>
          <w:rFonts w:ascii="Arial" w:cs="Arial" w:eastAsia="Arial" w:hAnsi="Arial"/>
          <w:b w:val="1"/>
          <w:bCs w:val="1"/>
          <w:color w:val="000000"/>
          <w:sz w:val="22"/>
          <w:szCs w:val="22"/>
          <w:rtl w:val="0"/>
        </w:rPr>
        <w:t xml:space="preserve">ABSTENERSE </w:t>
      </w:r>
      <w:r w:rsidDel="00000000" w:rsidR="00000000" w:rsidRPr="00000000">
        <w:rPr>
          <w:rFonts w:ascii="Arial" w:cs="Arial" w:eastAsia="Arial" w:hAnsi="Arial"/>
          <w:color w:val="000000"/>
          <w:sz w:val="22"/>
          <w:szCs w:val="22"/>
          <w:rtl w:val="0"/>
        </w:rPr>
        <w:t xml:space="preserve">de conceder un término para presentar alegatos de conclusión, comoquiera que no se dispuso la práctica de prueba alguna. </w:t>
      </w:r>
    </w:p>
    <w:p w:rsidR="00000000" w:rsidDel="00000000" w:rsidP="00000000" w:rsidRDefault="00000000" w:rsidRPr="00000000" w14:paraId="00000094">
      <w:pPr>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095">
      <w:pPr>
        <w:tabs>
          <w:tab w:val="left" w:leader="none" w:pos="-720"/>
        </w:tabs>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QUINTO: NOTIFICAR</w:t>
      </w:r>
      <w:r w:rsidDel="00000000" w:rsidR="00000000" w:rsidRPr="00000000">
        <w:rPr>
          <w:rFonts w:ascii="Arial" w:cs="Arial" w:eastAsia="Arial" w:hAnsi="Arial"/>
          <w:color w:val="000000"/>
          <w:sz w:val="22"/>
          <w:szCs w:val="22"/>
          <w:rtl w:val="0"/>
        </w:rPr>
        <w:t xml:space="preserve"> electrónicamente el contenido del presente Acto Administrativo,</w:t>
      </w:r>
      <w:r w:rsidDel="00000000" w:rsidR="00000000" w:rsidRPr="00000000">
        <w:rPr>
          <w:rFonts w:ascii="Arial" w:cs="Arial" w:eastAsia="Arial" w:hAnsi="Arial"/>
          <w:sz w:val="22"/>
          <w:szCs w:val="22"/>
          <w:rtl w:val="0"/>
        </w:rPr>
        <w:t xml:space="preserve"> a la señora </w:t>
      </w:r>
      <w:r w:rsidDel="00000000" w:rsidR="00000000" w:rsidRPr="00000000">
        <w:rPr>
          <w:rFonts w:ascii="Arial" w:cs="Arial" w:eastAsia="Arial" w:hAnsi="Arial"/>
          <w:b w:val="1"/>
          <w:bCs w:val="1"/>
          <w:color w:val="000000"/>
          <w:sz w:val="22"/>
          <w:szCs w:val="22"/>
          <w:rtl w:val="0"/>
        </w:rPr>
        <w:t xml:space="preserve">LUCILA SUÁREZ DE PALMA, </w:t>
      </w:r>
      <w:r w:rsidDel="00000000" w:rsidR="00000000" w:rsidRPr="00000000">
        <w:rPr>
          <w:rFonts w:ascii="Arial" w:cs="Arial" w:eastAsia="Arial" w:hAnsi="Arial"/>
          <w:color w:val="000000"/>
          <w:sz w:val="22"/>
          <w:szCs w:val="22"/>
          <w:rtl w:val="0"/>
        </w:rPr>
        <w:t xml:space="preserve">identificada con la cédula de ciudadanía No. 51.602.866</w:t>
      </w:r>
      <w:r w:rsidDel="00000000" w:rsidR="00000000" w:rsidRPr="00000000">
        <w:rPr>
          <w:rFonts w:ascii="Arial" w:cs="Arial" w:eastAsia="Arial" w:hAnsi="Arial"/>
          <w:sz w:val="22"/>
          <w:szCs w:val="22"/>
          <w:rtl w:val="0"/>
        </w:rPr>
        <w:t xml:space="preserve">,</w:t>
      </w:r>
      <w:r w:rsidDel="00000000" w:rsidR="00000000" w:rsidRPr="00000000">
        <w:rPr>
          <w:rFonts w:ascii="Arial" w:cs="Arial" w:eastAsia="Arial" w:hAnsi="Arial"/>
          <w:color w:val="000000"/>
          <w:sz w:val="22"/>
          <w:szCs w:val="22"/>
          <w:rtl w:val="0"/>
        </w:rPr>
        <w:t xml:space="preserve"> a través del correo electrónico: palmasuaresr@gmail.com, debiéndose acusar recibo del mensaje allegado vía correo electrónico.</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jc w:val="both"/>
        <w:rPr/>
      </w:pPr>
      <w:r w:rsidDel="00000000" w:rsidR="00000000" w:rsidRPr="00000000">
        <w:rPr>
          <w:rFonts w:ascii="Arial" w:cs="Arial" w:eastAsia="Arial" w:hAnsi="Arial"/>
          <w:b w:val="1"/>
          <w:bCs w:val="1"/>
          <w:color w:val="000000"/>
          <w:sz w:val="22"/>
          <w:szCs w:val="22"/>
          <w:rtl w:val="0"/>
        </w:rPr>
        <w:t xml:space="preserve">PARÁGRAFO PRIMERO: </w:t>
      </w:r>
      <w:r w:rsidDel="00000000" w:rsidR="00000000" w:rsidRPr="00000000">
        <w:rPr>
          <w:rFonts w:ascii="Arial" w:cs="Arial" w:eastAsia="Arial" w:hAnsi="Arial"/>
          <w:color w:val="000000"/>
          <w:sz w:val="22"/>
          <w:szCs w:val="22"/>
          <w:rtl w:val="0"/>
        </w:rPr>
        <w:t xml:space="preserve">La notificación electrónica se entenderá surtida a partir de la fecha y hora en que se acceda al acto administrativo, conforme al artículo 56 de la Ley 1437 de 2011.</w:t>
      </w:r>
      <w:r w:rsidDel="00000000" w:rsidR="00000000" w:rsidRPr="00000000">
        <w:rPr>
          <w:rtl w:val="0"/>
        </w:rPr>
      </w:r>
    </w:p>
    <w:p w:rsidR="00000000" w:rsidDel="00000000" w:rsidP="00000000" w:rsidRDefault="00000000" w:rsidRPr="00000000" w14:paraId="00000098">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99">
      <w:pPr>
        <w:jc w:val="both"/>
        <w:rPr/>
      </w:pPr>
      <w:r w:rsidDel="00000000" w:rsidR="00000000" w:rsidRPr="00000000">
        <w:rPr>
          <w:rFonts w:ascii="Arial" w:cs="Arial" w:eastAsia="Arial" w:hAnsi="Arial"/>
          <w:b w:val="1"/>
          <w:bCs w:val="1"/>
          <w:color w:val="000000"/>
          <w:sz w:val="22"/>
          <w:szCs w:val="22"/>
          <w:rtl w:val="0"/>
        </w:rPr>
        <w:t xml:space="preserve">PARÁGRAFO SEGUNDO: </w:t>
      </w:r>
      <w:r w:rsidDel="00000000" w:rsidR="00000000" w:rsidRPr="00000000">
        <w:rPr>
          <w:rFonts w:ascii="Arial" w:cs="Arial" w:eastAsia="Arial" w:hAnsi="Arial"/>
          <w:color w:val="000000"/>
          <w:sz w:val="22"/>
          <w:szCs w:val="22"/>
          <w:rtl w:val="0"/>
        </w:rPr>
        <w:t xml:space="preserve">En el evento en que la notificación o comunicación no pueda hacerse de forma electrónica, se seguirá el procedimiento previsto en el artículo 67 y subsiguientes de la Ley 1437 de 2011.</w:t>
      </w:r>
      <w:r w:rsidDel="00000000" w:rsidR="00000000" w:rsidRPr="00000000">
        <w:rPr>
          <w:rtl w:val="0"/>
        </w:rPr>
      </w:r>
    </w:p>
    <w:p w:rsidR="00000000" w:rsidDel="00000000" w:rsidP="00000000" w:rsidRDefault="00000000" w:rsidRPr="00000000" w14:paraId="0000009A">
      <w:pPr>
        <w:jc w:val="both"/>
        <w:rPr/>
      </w:pP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9B">
      <w:pPr>
        <w:jc w:val="both"/>
        <w:rPr/>
      </w:pPr>
      <w:r w:rsidDel="00000000" w:rsidR="00000000" w:rsidRPr="00000000">
        <w:rPr>
          <w:rFonts w:ascii="Arial" w:cs="Arial" w:eastAsia="Arial" w:hAnsi="Arial"/>
          <w:b w:val="1"/>
          <w:bCs w:val="1"/>
          <w:color w:val="000000"/>
          <w:sz w:val="22"/>
          <w:szCs w:val="22"/>
          <w:rtl w:val="0"/>
        </w:rPr>
        <w:t xml:space="preserve">PARÁGRAFO TERCERO: </w:t>
      </w:r>
      <w:r w:rsidDel="00000000" w:rsidR="00000000" w:rsidRPr="00000000">
        <w:rPr>
          <w:rFonts w:ascii="Arial" w:cs="Arial" w:eastAsia="Arial" w:hAnsi="Arial"/>
          <w:color w:val="000000"/>
          <w:sz w:val="22"/>
          <w:szCs w:val="22"/>
          <w:rtl w:val="0"/>
        </w:rPr>
        <w:t xml:space="preserve">Remítase el expediente a la oficina de notificaciones de la Secretaría General, con el fin de que se surta la respectiva notificación de la presente actuación.</w:t>
      </w:r>
      <w:r w:rsidDel="00000000" w:rsidR="00000000" w:rsidRPr="00000000">
        <w:rPr>
          <w:rFonts w:ascii="Arial" w:cs="Arial" w:eastAsia="Arial" w:hAnsi="Arial"/>
          <w:b w:val="1"/>
          <w:bCs w:val="1"/>
          <w:color w:val="000000"/>
          <w:sz w:val="22"/>
          <w:szCs w:val="22"/>
          <w:rtl w:val="0"/>
        </w:rPr>
        <w:t xml:space="preserve"> </w:t>
      </w:r>
      <w:r w:rsidDel="00000000" w:rsidR="00000000" w:rsidRPr="00000000">
        <w:rPr>
          <w:rtl w:val="0"/>
        </w:rPr>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ARTÍCULO SEXTO</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color w:val="000000"/>
          <w:sz w:val="22"/>
          <w:szCs w:val="22"/>
          <w:rtl w:val="0"/>
        </w:rPr>
        <w:t xml:space="preserve">Contra la presente decisión administrativa NO procede </w:t>
      </w:r>
      <w:r w:rsidDel="00000000" w:rsidR="00000000" w:rsidRPr="00000000">
        <w:rPr>
          <w:rFonts w:ascii="Arial" w:cs="Arial" w:eastAsia="Arial" w:hAnsi="Arial"/>
          <w:sz w:val="22"/>
          <w:szCs w:val="22"/>
          <w:rtl w:val="0"/>
        </w:rPr>
        <w:t xml:space="preserve">recurso algo al no efectuarse la práctica de ninguna prueba, </w:t>
      </w:r>
      <w:r w:rsidDel="00000000" w:rsidR="00000000" w:rsidRPr="00000000">
        <w:rPr>
          <w:rFonts w:ascii="Arial" w:cs="Arial" w:eastAsia="Arial" w:hAnsi="Arial"/>
          <w:color w:val="000000"/>
          <w:sz w:val="22"/>
          <w:szCs w:val="22"/>
          <w:rtl w:val="0"/>
        </w:rPr>
        <w:t xml:space="preserve">en los términos establecidos en el artículo 26 de la ley 1333 de 2009 modificada por la Ley 2387 de 2024, y en concordancia con la Ley 1437 de 2011 – Código de Procedimiento Administrativo y de lo Contencioso Administrativo.</w:t>
      </w:r>
    </w:p>
    <w:p w:rsidR="00000000" w:rsidDel="00000000" w:rsidP="00000000" w:rsidRDefault="00000000" w:rsidRPr="00000000" w14:paraId="0000009E">
      <w:pPr>
        <w:pBdr>
          <w:top w:space="0" w:sz="0" w:val="nil"/>
          <w:left w:space="0" w:sz="0" w:val="nil"/>
          <w:bottom w:space="0" w:sz="0" w:val="nil"/>
          <w:right w:space="0" w:sz="0" w:val="nil"/>
          <w:between w:space="0" w:sz="0" w:val="nil"/>
        </w:pBdr>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09F">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NOTIFÍQUESE Y CÚMPLASE,</w:t>
      </w:r>
    </w:p>
    <w:p w:rsidR="00000000" w:rsidDel="00000000" w:rsidP="00000000" w:rsidRDefault="00000000" w:rsidRPr="00000000" w14:paraId="000000A0">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1">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2">
      <w:pPr>
        <w:tabs>
          <w:tab w:val="left" w:leader="none" w:pos="-720"/>
        </w:tabs>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3">
      <w:pPr>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0A4">
      <w:pPr>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LUIS ALBERTO FLÓREZ CHACÓN</w:t>
      </w:r>
    </w:p>
    <w:p w:rsidR="00000000" w:rsidDel="00000000" w:rsidP="00000000" w:rsidRDefault="00000000" w:rsidRPr="00000000" w14:paraId="000000A5">
      <w:pPr>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Secretario General</w:t>
      </w:r>
    </w:p>
    <w:p w:rsidR="00000000" w:rsidDel="00000000" w:rsidP="00000000" w:rsidRDefault="00000000" w:rsidRPr="00000000" w14:paraId="000000A6">
      <w:pPr>
        <w:jc w:val="center"/>
        <w:rPr>
          <w:rFonts w:ascii="Arial" w:cs="Arial" w:eastAsia="Arial" w:hAnsi="Arial"/>
          <w:sz w:val="22"/>
          <w:szCs w:val="22"/>
        </w:rPr>
      </w:pPr>
      <w:r w:rsidDel="00000000" w:rsidR="00000000" w:rsidRPr="00000000">
        <w:rPr>
          <w:rtl w:val="0"/>
        </w:rPr>
      </w:r>
    </w:p>
    <w:tbl>
      <w:tblPr>
        <w:tblStyle w:val="Table1"/>
        <w:tblpPr w:leftFromText="141" w:rightFromText="141" w:topFromText="0" w:bottomFromText="200" w:vertAnchor="text" w:horzAnchor="text" w:tblpX="0" w:tblpY="58"/>
        <w:tblW w:w="9301.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124"/>
        <w:gridCol w:w="1635"/>
        <w:gridCol w:w="2248"/>
        <w:gridCol w:w="3512"/>
        <w:gridCol w:w="782"/>
        <w:tblGridChange w:id="0">
          <w:tblGrid>
            <w:gridCol w:w="1124"/>
            <w:gridCol w:w="1635"/>
            <w:gridCol w:w="2248"/>
            <w:gridCol w:w="3512"/>
            <w:gridCol w:w="782"/>
          </w:tblGrid>
        </w:tblGridChange>
      </w:tblGrid>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7">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Proyectó: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8">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Diego Fernando Gómez Silva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Abogado Contratista   </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B">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216" w:hRule="atLeast"/>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C">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Revisó:</w:t>
            </w:r>
          </w:p>
        </w:tc>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D">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María Catalina Hernández Pinzón</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AF">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Coordinador Grupo Defensa Jurídica Integral</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0">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tl w:val="0"/>
              </w:rPr>
            </w:r>
          </w:p>
        </w:tc>
      </w:tr>
      <w:tr>
        <w:trPr>
          <w:cantSplit w:val="0"/>
          <w:trHeight w:val="166" w:hRule="atLeast"/>
          <w:tblHeader w:val="0"/>
        </w:trPr>
        <w:tc>
          <w:tcPr>
            <w:gridSpan w:val="2"/>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1">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Oficina Responsable:</w:t>
            </w:r>
          </w:p>
        </w:tc>
        <w:tc>
          <w:tcPr>
            <w:gridSpan w:val="3"/>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B3">
            <w:pPr>
              <w:pBdr>
                <w:top w:space="0" w:sz="0" w:val="nil"/>
                <w:left w:space="0" w:sz="0" w:val="nil"/>
                <w:bottom w:space="0" w:sz="0" w:val="nil"/>
                <w:right w:space="0" w:sz="0" w:val="nil"/>
                <w:between w:space="0" w:sz="0" w:val="nil"/>
              </w:pBdr>
              <w:rPr>
                <w:rFonts w:ascii="Arial" w:cs="Arial" w:eastAsia="Arial" w:hAnsi="Arial"/>
                <w:color w:val="000000"/>
                <w:sz w:val="16"/>
                <w:szCs w:val="16"/>
              </w:rPr>
            </w:pPr>
            <w:r w:rsidDel="00000000" w:rsidR="00000000" w:rsidRPr="00000000">
              <w:rPr>
                <w:rFonts w:ascii="Arial" w:cs="Arial" w:eastAsia="Arial" w:hAnsi="Arial"/>
                <w:color w:val="000000"/>
                <w:sz w:val="16"/>
                <w:szCs w:val="16"/>
                <w:rtl w:val="0"/>
              </w:rPr>
              <w:t xml:space="preserve">Secretaria General </w:t>
            </w:r>
          </w:p>
        </w:tc>
      </w:tr>
    </w:tbl>
    <w:p w:rsidR="00000000" w:rsidDel="00000000" w:rsidP="00000000" w:rsidRDefault="00000000" w:rsidRPr="00000000" w14:paraId="000000B6">
      <w:pPr>
        <w:jc w:val="both"/>
        <w:rPr>
          <w:rFonts w:ascii="Arial" w:cs="Arial" w:eastAsia="Arial" w:hAnsi="Arial"/>
          <w:sz w:val="22"/>
          <w:szCs w:val="22"/>
        </w:rPr>
      </w:pPr>
      <w:bookmarkStart w:colFirst="0" w:colLast="0" w:name="_heading=h.t1spcjjloi9e" w:id="1"/>
      <w:bookmarkEnd w:id="1"/>
      <w:r w:rsidDel="00000000" w:rsidR="00000000" w:rsidRPr="00000000">
        <w:rPr>
          <w:rtl w:val="0"/>
        </w:rPr>
      </w:r>
    </w:p>
    <w:p w:rsidR="00000000" w:rsidDel="00000000" w:rsidP="00000000" w:rsidRDefault="00000000" w:rsidRPr="00000000" w14:paraId="000000B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A">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B">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C">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D">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E">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BF">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0">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1">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2">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3">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4">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5">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6">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7">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8">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9">
      <w:pPr>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CA">
      <w:pPr>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w:t>
      </w:r>
    </w:p>
    <w:sectPr>
      <w:headerReference r:id="rId8" w:type="default"/>
      <w:headerReference r:id="rId9" w:type="first"/>
      <w:headerReference r:id="rId10" w:type="even"/>
      <w:footerReference r:id="rId11" w:type="default"/>
      <w:footerReference r:id="rId12" w:type="first"/>
      <w:footerReference r:id="rId13" w:type="even"/>
      <w:pgSz w:h="18720" w:w="12240" w:orient="portrait"/>
      <w:pgMar w:bottom="2268" w:top="2268" w:left="1701" w:right="1701"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Arial"/>
  <w:font w:name="Times New Roman"/>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6">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C">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center" w:leader="none" w:pos="4419"/>
        <w:tab w:val="right" w:leader="none" w:pos="8838"/>
      </w:tabs>
      <w:rPr>
        <w:color w:val="000000"/>
      </w:rPr>
    </w:pPr>
    <w:r w:rsidDel="00000000" w:rsidR="00000000" w:rsidRPr="00000000">
      <w:rPr>
        <w:rtl w:val="0"/>
      </w:rPr>
    </w:r>
  </w:p>
  <w:p w:rsidR="00000000" w:rsidDel="00000000" w:rsidP="00000000" w:rsidRDefault="00000000" w:rsidRPr="00000000" w14:paraId="000000D2">
    <w:pPr>
      <w:pBdr>
        <w:top w:space="0" w:sz="0" w:val="nil"/>
        <w:left w:space="0" w:sz="0" w:val="nil"/>
        <w:bottom w:space="0" w:sz="0" w:val="nil"/>
        <w:right w:space="0" w:sz="0" w:val="nil"/>
        <w:between w:space="0" w:sz="0" w:val="nil"/>
      </w:pBdr>
      <w:tabs>
        <w:tab w:val="center" w:leader="none" w:pos="4419"/>
        <w:tab w:val="right" w:leader="none" w:pos="8838"/>
      </w:tabs>
      <w:rPr>
        <w:rFonts w:ascii="Arial" w:cs="Arial" w:eastAsia="Arial" w:hAnsi="Arial"/>
        <w:color w:val="000000"/>
      </w:rPr>
    </w:pPr>
    <w:r w:rsidDel="00000000" w:rsidR="00000000" w:rsidRPr="00000000">
      <w:rPr>
        <w:rFonts w:ascii="Arial" w:cs="Arial" w:eastAsia="Arial" w:hAnsi="Arial"/>
        <w:color w:val="000000"/>
        <w:rtl w:val="0"/>
      </w:rPr>
      <w:t xml:space="preserve">SA-0049-2019</w:t>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419"/>
        <w:tab w:val="right" w:leader="none" w:pos="8838"/>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2">
    <w:lvl w:ilvl="0">
      <w:start w:val="1"/>
      <w:numFmt w:val="decimal"/>
      <w:lvlText w:val="%1."/>
      <w:lvlJc w:val="left"/>
      <w:pPr>
        <w:ind w:left="1440" w:hanging="360"/>
      </w:pPr>
      <w:rPr>
        <w:i w:val="0"/>
        <w:i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3">
    <w:lvl w:ilvl="0">
      <w:start w:val="1"/>
      <w:numFmt w:val="upp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decimal"/>
      <w:lvlText w:val="%1."/>
      <w:lvlJc w:val="left"/>
      <w:pPr>
        <w:ind w:left="1440" w:hanging="360"/>
      </w:pPr>
      <w:rPr>
        <w:i w:val="0"/>
        <w:iCs w:val="0"/>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abstractNum w:abstractNumId="5">
    <w:lvl w:ilvl="0">
      <w:start w:val="1"/>
      <w:numFmt w:val="upperRoman"/>
      <w:lvlText w:val="%1."/>
      <w:lvlJc w:val="left"/>
      <w:pPr>
        <w:ind w:left="1080" w:hanging="72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es-C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Calibri" w:cs="Calibri" w:eastAsia="Calibri" w:hAnsi="Calibri"/>
      <w:color w:val="2f5496"/>
      <w:sz w:val="40"/>
      <w:szCs w:val="40"/>
    </w:rPr>
  </w:style>
  <w:style w:type="paragraph" w:styleId="Heading2">
    <w:name w:val="heading 2"/>
    <w:basedOn w:val="Normal"/>
    <w:next w:val="Normal"/>
    <w:pPr>
      <w:keepNext w:val="1"/>
      <w:keepLines w:val="1"/>
      <w:spacing w:after="80" w:before="160" w:lineRule="auto"/>
    </w:pPr>
    <w:rPr>
      <w:rFonts w:ascii="Calibri" w:cs="Calibri" w:eastAsia="Calibri" w:hAnsi="Calibri"/>
      <w:color w:val="2f5496"/>
      <w:sz w:val="32"/>
      <w:szCs w:val="32"/>
    </w:rPr>
  </w:style>
  <w:style w:type="paragraph" w:styleId="Heading3">
    <w:name w:val="heading 3"/>
    <w:basedOn w:val="Normal"/>
    <w:next w:val="Normal"/>
    <w:pPr>
      <w:keepNext w:val="1"/>
      <w:keepLines w:val="1"/>
      <w:spacing w:after="80" w:before="160" w:lineRule="auto"/>
    </w:pPr>
    <w:rPr>
      <w:color w:val="2f5496"/>
      <w:sz w:val="28"/>
      <w:szCs w:val="28"/>
    </w:rPr>
  </w:style>
  <w:style w:type="paragraph" w:styleId="Heading4">
    <w:name w:val="heading 4"/>
    <w:basedOn w:val="Normal"/>
    <w:next w:val="Normal"/>
    <w:pPr>
      <w:keepNext w:val="1"/>
      <w:keepLines w:val="1"/>
      <w:spacing w:after="40" w:before="80" w:lineRule="auto"/>
    </w:pPr>
    <w:rPr>
      <w:i w:val="1"/>
      <w:iCs w:val="1"/>
      <w:color w:val="2f5496"/>
    </w:rPr>
  </w:style>
  <w:style w:type="paragraph" w:styleId="Heading5">
    <w:name w:val="heading 5"/>
    <w:basedOn w:val="Normal"/>
    <w:next w:val="Normal"/>
    <w:pPr>
      <w:keepNext w:val="1"/>
      <w:keepLines w:val="1"/>
      <w:spacing w:after="40" w:before="80" w:lineRule="auto"/>
    </w:pPr>
    <w:rPr>
      <w:color w:val="2f5496"/>
    </w:rPr>
  </w:style>
  <w:style w:type="paragraph" w:styleId="Heading6">
    <w:name w:val="heading 6"/>
    <w:basedOn w:val="Normal"/>
    <w:next w:val="Normal"/>
    <w:pPr>
      <w:keepNext w:val="1"/>
      <w:keepLines w:val="1"/>
      <w:spacing w:before="40" w:lineRule="auto"/>
    </w:pPr>
    <w:rPr>
      <w:i w:val="1"/>
      <w:iCs w:val="1"/>
      <w:color w:val="595959"/>
    </w:rPr>
  </w:style>
  <w:style w:type="paragraph" w:styleId="Title">
    <w:name w:val="Title"/>
    <w:basedOn w:val="Normal"/>
    <w:next w:val="Normal"/>
    <w:pPr>
      <w:spacing w:after="80" w:lineRule="auto"/>
    </w:pPr>
    <w:rPr>
      <w:rFonts w:ascii="Calibri" w:cs="Calibri" w:eastAsia="Calibri" w:hAnsi="Calibri"/>
      <w:sz w:val="56"/>
      <w:szCs w:val="56"/>
    </w:rPr>
  </w:style>
  <w:style w:type="paragraph" w:styleId="Subtitle">
    <w:name w:val="Subtitle"/>
    <w:basedOn w:val="Normal"/>
    <w:next w:val="Normal"/>
    <w:pPr/>
    <w:rPr>
      <w:color w:val="595959"/>
      <w:sz w:val="28"/>
      <w:szCs w:val="2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O9O1exXHt/a1+YGbhjZ21bMpNw==">CgMxLjAyDmgucGNnMDltbnJoMDFsMg5oLnQxc3Bjampsb2k5ZTgAciExaWFfbUdjZTgxRDJxcm03NkVaSUN4MlFHUjAxNmhISUQ=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